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36"/>
        </w:rPr>
      </w:pPr>
      <w:r>
        <w:rPr>
          <w:rFonts w:hint="eastAsia"/>
          <w:b/>
          <w:sz w:val="36"/>
        </w:rPr>
        <w:t>采购项目编号：2020-001</w:t>
      </w:r>
    </w:p>
    <w:p>
      <w:pPr>
        <w:spacing w:line="360" w:lineRule="auto"/>
        <w:rPr>
          <w:b/>
          <w:sz w:val="36"/>
        </w:rPr>
      </w:pPr>
      <w:r>
        <w:rPr>
          <w:rFonts w:hint="eastAsia"/>
          <w:b/>
          <w:sz w:val="36"/>
        </w:rPr>
        <w:t>采购项目名称：唐山市科技工作者创新创业基地合作运营管理服务</w:t>
      </w:r>
    </w:p>
    <w:p>
      <w:pPr>
        <w:spacing w:line="360" w:lineRule="auto"/>
        <w:rPr>
          <w:b/>
          <w:sz w:val="36"/>
        </w:rPr>
      </w:pPr>
      <w:r>
        <w:rPr>
          <w:rFonts w:hint="eastAsia"/>
          <w:b/>
          <w:sz w:val="36"/>
        </w:rPr>
        <w:t>采购人名称：唐山市科学技术协会</w:t>
      </w:r>
    </w:p>
    <w:p>
      <w:pPr>
        <w:tabs>
          <w:tab w:val="left" w:pos="5985"/>
        </w:tabs>
        <w:jc w:val="left"/>
        <w:rPr>
          <w:rFonts w:ascii="黑体" w:eastAsia="黑体"/>
          <w:b/>
          <w:snapToGrid w:val="0"/>
          <w:sz w:val="32"/>
          <w:szCs w:val="32"/>
        </w:rPr>
      </w:pPr>
      <w:r>
        <w:rPr>
          <w:rFonts w:ascii="黑体" w:eastAsia="黑体"/>
          <w:b/>
          <w:snapToGrid w:val="0"/>
          <w:sz w:val="32"/>
          <w:szCs w:val="32"/>
        </w:rPr>
        <w:tab/>
      </w:r>
    </w:p>
    <w:p>
      <w:pPr>
        <w:jc w:val="left"/>
        <w:rPr>
          <w:rFonts w:ascii="黑体" w:eastAsia="黑体"/>
          <w:b/>
          <w:snapToGrid w:val="0"/>
          <w:sz w:val="32"/>
          <w:szCs w:val="32"/>
        </w:rPr>
      </w:pPr>
    </w:p>
    <w:p>
      <w:pPr>
        <w:jc w:val="left"/>
        <w:rPr>
          <w:rFonts w:ascii="黑体" w:eastAsia="黑体"/>
          <w:b/>
          <w:snapToGrid w:val="0"/>
          <w:sz w:val="32"/>
          <w:szCs w:val="32"/>
        </w:rPr>
      </w:pPr>
    </w:p>
    <w:p>
      <w:pPr>
        <w:jc w:val="center"/>
        <w:rPr>
          <w:rFonts w:ascii="黑体" w:eastAsia="黑体"/>
          <w:b/>
          <w:snapToGrid w:val="0"/>
          <w:sz w:val="84"/>
        </w:rPr>
      </w:pPr>
      <w:r>
        <w:rPr>
          <w:rFonts w:hint="eastAsia" w:ascii="黑体" w:eastAsia="黑体"/>
          <w:b/>
          <w:snapToGrid w:val="0"/>
          <w:sz w:val="84"/>
        </w:rPr>
        <w:t>招 标 文 件</w:t>
      </w:r>
    </w:p>
    <w:p>
      <w:pPr>
        <w:rPr>
          <w:rFonts w:ascii="黑体" w:eastAsia="黑体"/>
          <w:b/>
          <w:snapToGrid w:val="0"/>
          <w:sz w:val="44"/>
        </w:rPr>
      </w:pPr>
    </w:p>
    <w:p>
      <w:pPr>
        <w:rPr>
          <w:rFonts w:ascii="黑体" w:eastAsia="黑体"/>
          <w:b/>
          <w:snapToGrid w:val="0"/>
          <w:sz w:val="44"/>
        </w:rPr>
      </w:pPr>
    </w:p>
    <w:p>
      <w:pPr>
        <w:rPr>
          <w:rFonts w:ascii="黑体" w:eastAsia="黑体"/>
          <w:b/>
          <w:snapToGrid w:val="0"/>
          <w:sz w:val="44"/>
        </w:rPr>
      </w:pPr>
    </w:p>
    <w:p>
      <w:pPr>
        <w:rPr>
          <w:rFonts w:ascii="黑体" w:eastAsia="黑体"/>
          <w:b/>
          <w:snapToGrid w:val="0"/>
          <w:sz w:val="44"/>
        </w:rPr>
      </w:pPr>
    </w:p>
    <w:p>
      <w:pPr>
        <w:rPr>
          <w:rFonts w:ascii="黑体" w:eastAsia="黑体"/>
          <w:b/>
          <w:snapToGrid w:val="0"/>
          <w:sz w:val="44"/>
        </w:rPr>
      </w:pPr>
    </w:p>
    <w:p>
      <w:pPr>
        <w:spacing w:line="360" w:lineRule="auto"/>
        <w:ind w:firstLine="1789" w:firstLineChars="495"/>
        <w:rPr>
          <w:b/>
          <w:snapToGrid w:val="0"/>
          <w:sz w:val="36"/>
          <w:szCs w:val="36"/>
        </w:rPr>
      </w:pPr>
    </w:p>
    <w:p>
      <w:pPr>
        <w:pStyle w:val="11"/>
        <w:tabs>
          <w:tab w:val="left" w:pos="3420"/>
        </w:tabs>
        <w:spacing w:line="360" w:lineRule="auto"/>
        <w:jc w:val="center"/>
        <w:rPr>
          <w:rFonts w:ascii="黑体" w:eastAsia="黑体"/>
          <w:b/>
          <w:snapToGrid w:val="0"/>
          <w:sz w:val="36"/>
        </w:rPr>
      </w:pPr>
      <w:r>
        <w:rPr>
          <w:rFonts w:hint="eastAsia" w:ascii="黑体" w:eastAsia="黑体"/>
          <w:b/>
          <w:snapToGrid w:val="0"/>
          <w:sz w:val="36"/>
        </w:rPr>
        <w:t>二〇二〇年五月</w:t>
      </w:r>
    </w:p>
    <w:p>
      <w:pPr>
        <w:widowControl/>
        <w:jc w:val="center"/>
        <w:rPr>
          <w:rFonts w:ascii="隶书" w:eastAsia="隶书"/>
          <w:b/>
          <w:sz w:val="48"/>
          <w:szCs w:val="48"/>
        </w:rPr>
      </w:pPr>
      <w:r>
        <w:rPr>
          <w:rFonts w:ascii="隶书" w:eastAsia="隶书"/>
          <w:b/>
          <w:sz w:val="48"/>
          <w:szCs w:val="48"/>
        </w:rPr>
        <w:br w:type="page"/>
      </w:r>
      <w:r>
        <w:rPr>
          <w:rFonts w:hint="eastAsia" w:ascii="隶书" w:eastAsia="隶书"/>
          <w:b/>
          <w:sz w:val="48"/>
          <w:szCs w:val="48"/>
        </w:rPr>
        <w:t>声  明</w:t>
      </w:r>
    </w:p>
    <w:p>
      <w:pPr>
        <w:snapToGrid w:val="0"/>
        <w:spacing w:line="360" w:lineRule="auto"/>
        <w:ind w:firstLine="900"/>
        <w:rPr>
          <w:rFonts w:ascii="隶书" w:eastAsia="隶书"/>
          <w:b/>
          <w:sz w:val="36"/>
          <w:szCs w:val="36"/>
        </w:rPr>
      </w:pPr>
      <w:r>
        <w:rPr>
          <w:rFonts w:hint="eastAsia" w:ascii="隶书" w:eastAsia="隶书"/>
          <w:b/>
          <w:sz w:val="36"/>
          <w:szCs w:val="36"/>
        </w:rPr>
        <w:t>为了保证招投标活动的公开、公平、公正，特此郑重声明：本招标文件及有关附件作为招投标工作依据，对招投标各方及参与人均具有约束力，投标人编制投标文件及实施投标行为必须按照本文件的约定进行,由于对招标文件的误解而造成的废标或其他情况,后果自负。</w:t>
      </w:r>
    </w:p>
    <w:p>
      <w:pPr>
        <w:rPr>
          <w:rFonts w:ascii="隶书" w:eastAsia="隶书"/>
          <w:b/>
          <w:sz w:val="44"/>
        </w:rPr>
      </w:pPr>
    </w:p>
    <w:p>
      <w:pPr>
        <w:ind w:right="720" w:firstLine="900"/>
        <w:jc w:val="right"/>
        <w:rPr>
          <w:rFonts w:ascii="隶书" w:eastAsia="隶书"/>
          <w:b/>
          <w:sz w:val="36"/>
          <w:szCs w:val="36"/>
        </w:rPr>
      </w:pPr>
      <w:r>
        <w:rPr>
          <w:rFonts w:hint="eastAsia" w:ascii="隶书" w:eastAsia="隶书"/>
          <w:b/>
          <w:sz w:val="36"/>
          <w:szCs w:val="36"/>
        </w:rPr>
        <w:t>唐山市科学技术协会</w:t>
      </w:r>
    </w:p>
    <w:p>
      <w:pPr>
        <w:spacing w:after="269" w:afterLines="50" w:line="360" w:lineRule="auto"/>
        <w:jc w:val="center"/>
        <w:rPr>
          <w:rFonts w:ascii="楷体_GB2312" w:eastAsia="楷体_GB2312"/>
          <w:b/>
          <w:sz w:val="44"/>
          <w:szCs w:val="44"/>
        </w:rPr>
      </w:pPr>
      <w:r>
        <w:rPr>
          <w:rFonts w:ascii="楷体_GB2312" w:eastAsia="楷体_GB2312"/>
          <w:b/>
          <w:sz w:val="52"/>
          <w:szCs w:val="52"/>
        </w:rPr>
        <w:br w:type="page"/>
      </w:r>
      <w:r>
        <w:rPr>
          <w:rFonts w:hint="eastAsia" w:ascii="楷体_GB2312" w:eastAsia="楷体_GB2312"/>
          <w:b/>
          <w:sz w:val="44"/>
          <w:szCs w:val="44"/>
        </w:rPr>
        <w:t>目  录</w:t>
      </w:r>
    </w:p>
    <w:p>
      <w:pPr>
        <w:pStyle w:val="16"/>
        <w:tabs>
          <w:tab w:val="right" w:leader="dot" w:pos="9510"/>
        </w:tabs>
        <w:rPr>
          <w:rFonts w:asciiTheme="minorHAnsi" w:hAnsiTheme="minorHAnsi" w:eastAsiaTheme="minorEastAsia" w:cstheme="minorBidi"/>
          <w:kern w:val="2"/>
          <w:sz w:val="21"/>
          <w:szCs w:val="22"/>
        </w:rPr>
      </w:pPr>
      <w:r>
        <w:rPr>
          <w:rFonts w:ascii="楷体_GB2312" w:eastAsia="楷体_GB2312"/>
          <w:b/>
        </w:rPr>
        <w:fldChar w:fldCharType="begin"/>
      </w:r>
      <w:r>
        <w:rPr>
          <w:rFonts w:ascii="楷体_GB2312" w:eastAsia="楷体_GB2312"/>
          <w:b/>
        </w:rPr>
        <w:instrText xml:space="preserve"> TOC \o "1-1" \h \z \u </w:instrText>
      </w:r>
      <w:r>
        <w:rPr>
          <w:rFonts w:ascii="楷体_GB2312" w:eastAsia="楷体_GB2312"/>
          <w:b/>
        </w:rPr>
        <w:fldChar w:fldCharType="separate"/>
      </w:r>
      <w:r>
        <w:fldChar w:fldCharType="begin"/>
      </w:r>
      <w:r>
        <w:instrText xml:space="preserve"> HYPERLINK \l "_Toc11938053" </w:instrText>
      </w:r>
      <w:r>
        <w:fldChar w:fldCharType="separate"/>
      </w:r>
      <w:r>
        <w:rPr>
          <w:rStyle w:val="24"/>
          <w:rFonts w:hint="eastAsia" w:ascii="楷体_GB2312" w:eastAsia="楷体_GB2312"/>
          <w:b/>
          <w:color w:val="auto"/>
        </w:rPr>
        <w:t>第一部分</w:t>
      </w:r>
      <w:r>
        <w:rPr>
          <w:rStyle w:val="24"/>
          <w:rFonts w:ascii="楷体_GB2312" w:eastAsia="楷体_GB2312"/>
          <w:b/>
          <w:color w:val="auto"/>
        </w:rPr>
        <w:t xml:space="preserve">  </w:t>
      </w:r>
      <w:r>
        <w:rPr>
          <w:rStyle w:val="24"/>
          <w:rFonts w:hint="eastAsia" w:ascii="楷体_GB2312" w:eastAsia="楷体_GB2312"/>
          <w:b/>
          <w:color w:val="auto"/>
        </w:rPr>
        <w:t>投标邀请函</w:t>
      </w:r>
      <w:r>
        <w:tab/>
      </w:r>
      <w:r>
        <w:fldChar w:fldCharType="begin"/>
      </w:r>
      <w:r>
        <w:instrText xml:space="preserve"> PAGEREF _Toc11938053 \h </w:instrText>
      </w:r>
      <w:r>
        <w:fldChar w:fldCharType="separate"/>
      </w:r>
      <w:r>
        <w:t>4</w:t>
      </w:r>
      <w:r>
        <w:fldChar w:fldCharType="end"/>
      </w:r>
      <w:r>
        <w:fldChar w:fldCharType="end"/>
      </w:r>
    </w:p>
    <w:p>
      <w:pPr>
        <w:pStyle w:val="16"/>
        <w:tabs>
          <w:tab w:val="right" w:leader="dot" w:pos="9510"/>
        </w:tabs>
        <w:rPr>
          <w:rFonts w:asciiTheme="minorHAnsi" w:hAnsiTheme="minorHAnsi" w:eastAsiaTheme="minorEastAsia" w:cstheme="minorBidi"/>
          <w:kern w:val="2"/>
          <w:sz w:val="21"/>
          <w:szCs w:val="22"/>
        </w:rPr>
      </w:pPr>
      <w:r>
        <w:fldChar w:fldCharType="begin"/>
      </w:r>
      <w:r>
        <w:instrText xml:space="preserve"> HYPERLINK \l "_Toc11938054" </w:instrText>
      </w:r>
      <w:r>
        <w:fldChar w:fldCharType="separate"/>
      </w:r>
      <w:r>
        <w:rPr>
          <w:rStyle w:val="24"/>
          <w:rFonts w:hint="eastAsia" w:ascii="楷体_GB2312" w:eastAsia="楷体_GB2312"/>
          <w:b/>
          <w:color w:val="auto"/>
        </w:rPr>
        <w:t>第二部分</w:t>
      </w:r>
      <w:r>
        <w:rPr>
          <w:rStyle w:val="24"/>
          <w:rFonts w:ascii="楷体_GB2312" w:eastAsia="楷体_GB2312"/>
          <w:b/>
          <w:color w:val="auto"/>
        </w:rPr>
        <w:t xml:space="preserve">  </w:t>
      </w:r>
      <w:r>
        <w:rPr>
          <w:rStyle w:val="24"/>
          <w:rFonts w:hint="eastAsia" w:ascii="楷体_GB2312" w:eastAsia="楷体_GB2312"/>
          <w:b/>
          <w:color w:val="auto"/>
        </w:rPr>
        <w:t>采购项目的相关要求</w:t>
      </w:r>
      <w:r>
        <w:tab/>
      </w:r>
      <w:r>
        <w:fldChar w:fldCharType="begin"/>
      </w:r>
      <w:r>
        <w:instrText xml:space="preserve"> PAGEREF _Toc11938054 \h </w:instrText>
      </w:r>
      <w:r>
        <w:fldChar w:fldCharType="separate"/>
      </w:r>
      <w:r>
        <w:t>6</w:t>
      </w:r>
      <w:r>
        <w:fldChar w:fldCharType="end"/>
      </w:r>
      <w:r>
        <w:fldChar w:fldCharType="end"/>
      </w:r>
    </w:p>
    <w:p>
      <w:pPr>
        <w:pStyle w:val="16"/>
        <w:tabs>
          <w:tab w:val="right" w:leader="dot" w:pos="9510"/>
        </w:tabs>
        <w:rPr>
          <w:rFonts w:asciiTheme="minorHAnsi" w:hAnsiTheme="minorHAnsi" w:eastAsiaTheme="minorEastAsia" w:cstheme="minorBidi"/>
          <w:kern w:val="2"/>
          <w:sz w:val="21"/>
          <w:szCs w:val="22"/>
        </w:rPr>
      </w:pPr>
      <w:r>
        <w:fldChar w:fldCharType="begin"/>
      </w:r>
      <w:r>
        <w:instrText xml:space="preserve"> HYPERLINK \l "_Toc11938055" </w:instrText>
      </w:r>
      <w:r>
        <w:fldChar w:fldCharType="separate"/>
      </w:r>
      <w:r>
        <w:rPr>
          <w:rStyle w:val="24"/>
          <w:rFonts w:hint="eastAsia" w:ascii="楷体_GB2312" w:eastAsia="楷体_GB2312"/>
          <w:b/>
          <w:color w:val="auto"/>
        </w:rPr>
        <w:t>第三部分</w:t>
      </w:r>
      <w:r>
        <w:rPr>
          <w:rStyle w:val="24"/>
          <w:rFonts w:ascii="楷体_GB2312" w:eastAsia="楷体_GB2312"/>
          <w:b/>
          <w:color w:val="auto"/>
        </w:rPr>
        <w:t xml:space="preserve">  </w:t>
      </w:r>
      <w:r>
        <w:rPr>
          <w:rStyle w:val="24"/>
          <w:rFonts w:hint="eastAsia" w:ascii="楷体_GB2312" w:eastAsia="楷体_GB2312"/>
          <w:b/>
          <w:color w:val="auto"/>
        </w:rPr>
        <w:t>投标人须知</w:t>
      </w:r>
      <w:r>
        <w:tab/>
      </w:r>
      <w:r>
        <w:fldChar w:fldCharType="begin"/>
      </w:r>
      <w:r>
        <w:instrText xml:space="preserve"> PAGEREF _Toc11938055 \h </w:instrText>
      </w:r>
      <w:r>
        <w:fldChar w:fldCharType="separate"/>
      </w:r>
      <w:r>
        <w:t>15</w:t>
      </w:r>
      <w:r>
        <w:fldChar w:fldCharType="end"/>
      </w:r>
      <w:r>
        <w:fldChar w:fldCharType="end"/>
      </w:r>
    </w:p>
    <w:p>
      <w:pPr>
        <w:pStyle w:val="16"/>
        <w:tabs>
          <w:tab w:val="right" w:leader="dot" w:pos="9510"/>
        </w:tabs>
        <w:rPr>
          <w:rFonts w:asciiTheme="minorHAnsi" w:hAnsiTheme="minorHAnsi" w:eastAsiaTheme="minorEastAsia" w:cstheme="minorBidi"/>
          <w:kern w:val="2"/>
          <w:sz w:val="21"/>
          <w:szCs w:val="22"/>
        </w:rPr>
      </w:pPr>
      <w:r>
        <w:fldChar w:fldCharType="begin"/>
      </w:r>
      <w:r>
        <w:instrText xml:space="preserve"> HYPERLINK \l "_Toc11938056" </w:instrText>
      </w:r>
      <w:r>
        <w:fldChar w:fldCharType="separate"/>
      </w:r>
      <w:r>
        <w:rPr>
          <w:rStyle w:val="24"/>
          <w:rFonts w:hint="eastAsia" w:ascii="楷体_GB2312" w:eastAsia="楷体_GB2312"/>
          <w:b/>
          <w:color w:val="auto"/>
        </w:rPr>
        <w:t>第四部分　政府采购合同</w:t>
      </w:r>
      <w:r>
        <w:tab/>
      </w:r>
      <w:r>
        <w:fldChar w:fldCharType="begin"/>
      </w:r>
      <w:r>
        <w:instrText xml:space="preserve"> PAGEREF _Toc11938056 \h </w:instrText>
      </w:r>
      <w:r>
        <w:fldChar w:fldCharType="separate"/>
      </w:r>
      <w:r>
        <w:t>31</w:t>
      </w:r>
      <w:r>
        <w:fldChar w:fldCharType="end"/>
      </w:r>
      <w:r>
        <w:fldChar w:fldCharType="end"/>
      </w:r>
    </w:p>
    <w:p>
      <w:pPr>
        <w:pStyle w:val="16"/>
        <w:tabs>
          <w:tab w:val="right" w:leader="dot" w:pos="9510"/>
        </w:tabs>
        <w:rPr>
          <w:rFonts w:asciiTheme="minorHAnsi" w:hAnsiTheme="minorHAnsi" w:eastAsiaTheme="minorEastAsia" w:cstheme="minorBidi"/>
          <w:kern w:val="2"/>
          <w:sz w:val="21"/>
          <w:szCs w:val="22"/>
        </w:rPr>
      </w:pPr>
      <w:r>
        <w:fldChar w:fldCharType="begin"/>
      </w:r>
      <w:r>
        <w:instrText xml:space="preserve"> HYPERLINK \l "_Toc11938057" </w:instrText>
      </w:r>
      <w:r>
        <w:fldChar w:fldCharType="separate"/>
      </w:r>
      <w:r>
        <w:rPr>
          <w:rStyle w:val="24"/>
          <w:rFonts w:hint="eastAsia" w:ascii="楷体_GB2312" w:eastAsia="楷体_GB2312"/>
          <w:b/>
          <w:color w:val="auto"/>
        </w:rPr>
        <w:t>第五部分　投标文件格式</w:t>
      </w:r>
      <w:r>
        <w:tab/>
      </w:r>
      <w:r>
        <w:fldChar w:fldCharType="begin"/>
      </w:r>
      <w:r>
        <w:instrText xml:space="preserve"> PAGEREF _Toc11938057 \h </w:instrText>
      </w:r>
      <w:r>
        <w:fldChar w:fldCharType="separate"/>
      </w:r>
      <w:r>
        <w:t>33</w:t>
      </w:r>
      <w:r>
        <w:fldChar w:fldCharType="end"/>
      </w:r>
      <w:r>
        <w:fldChar w:fldCharType="end"/>
      </w:r>
    </w:p>
    <w:p>
      <w:pPr>
        <w:spacing w:line="360" w:lineRule="auto"/>
        <w:jc w:val="center"/>
        <w:outlineLvl w:val="0"/>
        <w:rPr>
          <w:rFonts w:ascii="楷体_GB2312" w:eastAsia="楷体_GB2312"/>
          <w:b/>
          <w:sz w:val="36"/>
        </w:rPr>
      </w:pPr>
      <w:r>
        <w:rPr>
          <w:rFonts w:ascii="楷体_GB2312" w:eastAsia="楷体_GB2312"/>
          <w:b/>
        </w:rPr>
        <w:fldChar w:fldCharType="end"/>
      </w:r>
      <w:r>
        <w:rPr>
          <w:rFonts w:hint="eastAsia" w:ascii="楷体_GB2312" w:eastAsia="楷体_GB2312"/>
          <w:b/>
          <w:sz w:val="44"/>
        </w:rPr>
        <w:br w:type="page"/>
      </w:r>
      <w:bookmarkStart w:id="0" w:name="_Toc11938053"/>
      <w:r>
        <w:rPr>
          <w:rFonts w:hint="eastAsia" w:ascii="楷体_GB2312" w:eastAsia="楷体_GB2312"/>
          <w:b/>
          <w:sz w:val="44"/>
        </w:rPr>
        <w:t>第一部分  投标邀请函</w:t>
      </w:r>
      <w:bookmarkEnd w:id="0"/>
    </w:p>
    <w:p>
      <w:pPr>
        <w:adjustRightInd w:val="0"/>
        <w:snapToGrid w:val="0"/>
        <w:spacing w:line="360" w:lineRule="auto"/>
        <w:ind w:firstLine="480" w:firstLineChars="200"/>
        <w:rPr>
          <w:sz w:val="24"/>
          <w:szCs w:val="24"/>
        </w:rPr>
      </w:pPr>
      <w:r>
        <w:rPr>
          <w:rFonts w:hint="eastAsia"/>
          <w:sz w:val="24"/>
          <w:szCs w:val="24"/>
        </w:rPr>
        <w:t>唐山市科学技术协会遵循公开、公平、公正、诚实信用的原则，对唐山市科技工作者创新创业基地合作运营管理服务采购项目进行公开招投标，欢迎具有完成本项目能力的供应商参加。</w:t>
      </w:r>
    </w:p>
    <w:p>
      <w:pPr>
        <w:adjustRightInd w:val="0"/>
        <w:snapToGrid w:val="0"/>
        <w:spacing w:line="360" w:lineRule="auto"/>
        <w:ind w:firstLine="480" w:firstLineChars="200"/>
        <w:rPr>
          <w:sz w:val="24"/>
          <w:szCs w:val="24"/>
        </w:rPr>
      </w:pPr>
      <w:r>
        <w:rPr>
          <w:rFonts w:hint="eastAsia"/>
          <w:sz w:val="24"/>
          <w:szCs w:val="24"/>
        </w:rPr>
        <w:t>1.采购人名称：唐山市科学技术协会</w:t>
      </w:r>
    </w:p>
    <w:p>
      <w:pPr>
        <w:adjustRightInd w:val="0"/>
        <w:snapToGrid w:val="0"/>
        <w:spacing w:line="360" w:lineRule="auto"/>
        <w:ind w:firstLine="480" w:firstLineChars="200"/>
        <w:rPr>
          <w:sz w:val="24"/>
          <w:szCs w:val="24"/>
        </w:rPr>
      </w:pPr>
      <w:r>
        <w:rPr>
          <w:rFonts w:hint="eastAsia"/>
          <w:sz w:val="24"/>
          <w:szCs w:val="24"/>
        </w:rPr>
        <w:t>2.采购项目名称： 唐山市科技工作者创新创业基地合作运营管理服务</w:t>
      </w:r>
    </w:p>
    <w:p>
      <w:pPr>
        <w:adjustRightInd w:val="0"/>
        <w:snapToGrid w:val="0"/>
        <w:spacing w:line="360" w:lineRule="auto"/>
        <w:ind w:firstLine="480" w:firstLineChars="200"/>
        <w:rPr>
          <w:sz w:val="24"/>
          <w:szCs w:val="24"/>
        </w:rPr>
      </w:pPr>
      <w:r>
        <w:rPr>
          <w:rFonts w:hint="eastAsia"/>
          <w:sz w:val="24"/>
          <w:szCs w:val="24"/>
        </w:rPr>
        <w:t>3.采购项目编号：2020-001</w:t>
      </w:r>
    </w:p>
    <w:p>
      <w:pPr>
        <w:adjustRightInd w:val="0"/>
        <w:snapToGrid w:val="0"/>
        <w:spacing w:line="360" w:lineRule="auto"/>
        <w:ind w:firstLine="480" w:firstLineChars="200"/>
        <w:rPr>
          <w:sz w:val="24"/>
          <w:szCs w:val="24"/>
        </w:rPr>
      </w:pPr>
      <w:r>
        <w:rPr>
          <w:rFonts w:hint="eastAsia"/>
          <w:sz w:val="24"/>
          <w:szCs w:val="24"/>
        </w:rPr>
        <w:t>4.项目服务期限为：合同签订生效后三年</w:t>
      </w:r>
    </w:p>
    <w:p>
      <w:pPr>
        <w:adjustRightInd w:val="0"/>
        <w:snapToGrid w:val="0"/>
        <w:spacing w:line="360" w:lineRule="auto"/>
        <w:ind w:firstLine="480" w:firstLineChars="200"/>
        <w:rPr>
          <w:sz w:val="24"/>
          <w:szCs w:val="24"/>
        </w:rPr>
      </w:pPr>
      <w:r>
        <w:rPr>
          <w:rFonts w:hint="eastAsia"/>
          <w:sz w:val="24"/>
          <w:szCs w:val="24"/>
        </w:rPr>
        <w:t>5.项目服务地点为：唐山市新华西道与卫国路交叉口（卫国路14号）唐山科技馆6层东侧区域</w:t>
      </w:r>
    </w:p>
    <w:p>
      <w:pPr>
        <w:adjustRightInd w:val="0"/>
        <w:snapToGrid w:val="0"/>
        <w:spacing w:line="360" w:lineRule="auto"/>
        <w:ind w:firstLine="480" w:firstLineChars="200"/>
        <w:rPr>
          <w:sz w:val="24"/>
          <w:szCs w:val="24"/>
        </w:rPr>
      </w:pPr>
      <w:r>
        <w:rPr>
          <w:rFonts w:hint="eastAsia"/>
          <w:sz w:val="24"/>
          <w:szCs w:val="24"/>
        </w:rPr>
        <w:t>6.投标人资格要求：</w:t>
      </w:r>
    </w:p>
    <w:p>
      <w:pPr>
        <w:adjustRightInd w:val="0"/>
        <w:snapToGrid w:val="0"/>
        <w:spacing w:line="360" w:lineRule="auto"/>
        <w:ind w:firstLine="480" w:firstLineChars="200"/>
        <w:rPr>
          <w:sz w:val="24"/>
          <w:szCs w:val="24"/>
        </w:rPr>
      </w:pPr>
      <w:r>
        <w:rPr>
          <w:rFonts w:hint="eastAsia"/>
          <w:sz w:val="24"/>
          <w:szCs w:val="24"/>
        </w:rPr>
        <w:t>6.1投标单位必须是在中华人民共和国境内注册并合法运作的独立法人企业。</w:t>
      </w:r>
    </w:p>
    <w:p>
      <w:pPr>
        <w:adjustRightInd w:val="0"/>
        <w:snapToGrid w:val="0"/>
        <w:spacing w:line="360" w:lineRule="auto"/>
        <w:ind w:firstLine="480" w:firstLineChars="200"/>
        <w:rPr>
          <w:sz w:val="24"/>
          <w:szCs w:val="24"/>
        </w:rPr>
      </w:pPr>
      <w:r>
        <w:rPr>
          <w:rFonts w:hint="eastAsia"/>
          <w:sz w:val="24"/>
          <w:szCs w:val="24"/>
        </w:rPr>
        <w:t>6.2具有良好的商业信誉和履行合同的能力。</w:t>
      </w:r>
    </w:p>
    <w:p>
      <w:pPr>
        <w:adjustRightInd w:val="0"/>
        <w:snapToGrid w:val="0"/>
        <w:spacing w:line="360" w:lineRule="auto"/>
        <w:ind w:firstLine="480" w:firstLineChars="200"/>
        <w:rPr>
          <w:sz w:val="24"/>
          <w:szCs w:val="24"/>
        </w:rPr>
      </w:pPr>
      <w:r>
        <w:rPr>
          <w:rFonts w:hint="eastAsia"/>
          <w:sz w:val="24"/>
          <w:szCs w:val="24"/>
        </w:rPr>
        <w:t>6.3投标人在“信用中国”网站（www.creditchina.gov.cn）列入失信被执行人的不得参加本招标项目投标；否则按投标无效处理（失信被执行人情况以评标当日信用中国网站查询结果为准）。</w:t>
      </w:r>
    </w:p>
    <w:p>
      <w:pPr>
        <w:adjustRightInd w:val="0"/>
        <w:snapToGrid w:val="0"/>
        <w:spacing w:line="360" w:lineRule="auto"/>
        <w:ind w:firstLine="480" w:firstLineChars="200"/>
        <w:rPr>
          <w:sz w:val="24"/>
          <w:szCs w:val="24"/>
        </w:rPr>
      </w:pPr>
      <w:r>
        <w:rPr>
          <w:rFonts w:hint="eastAsia"/>
          <w:sz w:val="24"/>
          <w:szCs w:val="24"/>
        </w:rPr>
        <w:t>6.4单位负责人为同一人或者存在控股、管理、关联关系的不同单位，不得参加本项目的投标。以天眼查网站查询为准。</w:t>
      </w:r>
    </w:p>
    <w:p>
      <w:pPr>
        <w:adjustRightInd w:val="0"/>
        <w:snapToGrid w:val="0"/>
        <w:spacing w:line="360" w:lineRule="auto"/>
        <w:ind w:firstLine="480" w:firstLineChars="200"/>
        <w:rPr>
          <w:sz w:val="24"/>
          <w:szCs w:val="24"/>
        </w:rPr>
      </w:pPr>
      <w:r>
        <w:rPr>
          <w:rFonts w:hint="eastAsia"/>
          <w:sz w:val="24"/>
          <w:szCs w:val="24"/>
        </w:rPr>
        <w:t>6.5符合《政府采购法》第22条规定及相关规定。</w:t>
      </w:r>
    </w:p>
    <w:p>
      <w:pPr>
        <w:adjustRightInd w:val="0"/>
        <w:snapToGrid w:val="0"/>
        <w:spacing w:line="360" w:lineRule="auto"/>
        <w:ind w:firstLine="480" w:firstLineChars="200"/>
        <w:rPr>
          <w:sz w:val="24"/>
          <w:szCs w:val="24"/>
        </w:rPr>
      </w:pPr>
      <w:r>
        <w:rPr>
          <w:rFonts w:hint="eastAsia"/>
          <w:sz w:val="24"/>
          <w:szCs w:val="24"/>
        </w:rPr>
        <w:t>6.6本次招标不接受联合体的投标。</w:t>
      </w:r>
    </w:p>
    <w:p>
      <w:pPr>
        <w:adjustRightInd w:val="0"/>
        <w:snapToGrid w:val="0"/>
        <w:spacing w:line="360" w:lineRule="auto"/>
        <w:ind w:firstLine="480" w:firstLineChars="200"/>
        <w:rPr>
          <w:sz w:val="24"/>
          <w:szCs w:val="24"/>
        </w:rPr>
      </w:pPr>
      <w:r>
        <w:rPr>
          <w:rFonts w:hint="eastAsia"/>
          <w:sz w:val="24"/>
          <w:szCs w:val="24"/>
        </w:rPr>
        <w:t xml:space="preserve">7.评审办法：综合评分法 </w:t>
      </w:r>
    </w:p>
    <w:p>
      <w:pPr>
        <w:adjustRightInd w:val="0"/>
        <w:snapToGrid w:val="0"/>
        <w:spacing w:line="360" w:lineRule="auto"/>
        <w:ind w:firstLine="480" w:firstLineChars="200"/>
        <w:rPr>
          <w:rFonts w:hint="eastAsia"/>
          <w:sz w:val="24"/>
          <w:szCs w:val="24"/>
        </w:rPr>
      </w:pPr>
      <w:r>
        <w:rPr>
          <w:rFonts w:hint="eastAsia"/>
          <w:sz w:val="24"/>
          <w:szCs w:val="24"/>
        </w:rPr>
        <w:t>8.公告期限及领取（下载）招标文件时间：北京时间2020年</w:t>
      </w:r>
      <w:r>
        <w:rPr>
          <w:rFonts w:hint="eastAsia"/>
          <w:sz w:val="24"/>
          <w:szCs w:val="24"/>
          <w:lang w:val="en-US" w:eastAsia="zh-CN"/>
        </w:rPr>
        <w:t>5</w:t>
      </w:r>
      <w:r>
        <w:rPr>
          <w:rFonts w:hint="eastAsia"/>
          <w:sz w:val="24"/>
          <w:szCs w:val="24"/>
        </w:rPr>
        <w:t>月</w:t>
      </w:r>
      <w:r>
        <w:rPr>
          <w:rFonts w:hint="eastAsia"/>
          <w:sz w:val="24"/>
          <w:szCs w:val="24"/>
          <w:lang w:val="en-US" w:eastAsia="zh-CN"/>
        </w:rPr>
        <w:t>13</w:t>
      </w:r>
      <w:r>
        <w:rPr>
          <w:rFonts w:hint="eastAsia"/>
          <w:sz w:val="24"/>
          <w:szCs w:val="24"/>
        </w:rPr>
        <w:t>日至2020年</w:t>
      </w:r>
      <w:r>
        <w:rPr>
          <w:rFonts w:hint="eastAsia"/>
          <w:sz w:val="24"/>
          <w:szCs w:val="24"/>
          <w:lang w:val="en-US" w:eastAsia="zh-CN"/>
        </w:rPr>
        <w:t>6</w:t>
      </w:r>
      <w:r>
        <w:rPr>
          <w:rFonts w:hint="eastAsia"/>
          <w:sz w:val="24"/>
          <w:szCs w:val="24"/>
        </w:rPr>
        <w:t>月</w:t>
      </w:r>
      <w:r>
        <w:rPr>
          <w:rFonts w:hint="eastAsia"/>
          <w:sz w:val="24"/>
          <w:szCs w:val="24"/>
          <w:lang w:val="en-US" w:eastAsia="zh-CN"/>
        </w:rPr>
        <w:t>1</w:t>
      </w:r>
      <w:r>
        <w:rPr>
          <w:rFonts w:hint="eastAsia"/>
          <w:sz w:val="24"/>
          <w:szCs w:val="24"/>
        </w:rPr>
        <w:t>日上午8:30-下午17:30。（法定节假日、公休日除外）</w:t>
      </w:r>
    </w:p>
    <w:p>
      <w:pPr>
        <w:adjustRightInd w:val="0"/>
        <w:snapToGrid w:val="0"/>
        <w:spacing w:line="360" w:lineRule="auto"/>
        <w:ind w:firstLine="480" w:firstLineChars="200"/>
        <w:rPr>
          <w:rFonts w:ascii="仿宋_GB2312"/>
          <w:sz w:val="24"/>
        </w:rPr>
      </w:pPr>
      <w:r>
        <w:rPr>
          <w:rFonts w:hint="eastAsia"/>
          <w:sz w:val="24"/>
          <w:szCs w:val="24"/>
        </w:rPr>
        <w:t>9.招标</w:t>
      </w:r>
      <w:r>
        <w:rPr>
          <w:rFonts w:hint="eastAsia" w:ascii="仿宋_GB2312"/>
          <w:sz w:val="24"/>
        </w:rPr>
        <w:t>文件工本费：免费。</w:t>
      </w:r>
    </w:p>
    <w:p>
      <w:pPr>
        <w:adjustRightInd w:val="0"/>
        <w:snapToGrid w:val="0"/>
        <w:spacing w:line="360" w:lineRule="auto"/>
        <w:ind w:firstLine="480" w:firstLineChars="200"/>
        <w:rPr>
          <w:rFonts w:ascii="仿宋_GB2312"/>
          <w:sz w:val="24"/>
        </w:rPr>
      </w:pPr>
      <w:r>
        <w:rPr>
          <w:rFonts w:hint="eastAsia" w:ascii="仿宋_GB2312"/>
          <w:sz w:val="24"/>
        </w:rPr>
        <w:t xml:space="preserve">10.下载招标文件方式: </w:t>
      </w:r>
    </w:p>
    <w:p>
      <w:pPr>
        <w:adjustRightInd w:val="0"/>
        <w:snapToGrid w:val="0"/>
        <w:spacing w:line="360" w:lineRule="auto"/>
        <w:ind w:firstLine="480" w:firstLineChars="200"/>
        <w:rPr>
          <w:rFonts w:ascii="仿宋_GB2312"/>
          <w:sz w:val="24"/>
        </w:rPr>
      </w:pPr>
      <w:r>
        <w:rPr>
          <w:rFonts w:hint="eastAsia" w:ascii="仿宋_GB2312"/>
          <w:sz w:val="24"/>
        </w:rPr>
        <w:t>投标人登录唐山科普在线网站</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"http://www.tskp.org.cn/" </w:instrText>
      </w:r>
      <w:r>
        <w:rPr>
          <w:rFonts w:hint="eastAsia" w:ascii="仿宋_GB2312" w:eastAsia="仿宋_GB2312"/>
          <w:sz w:val="32"/>
          <w:szCs w:val="32"/>
        </w:rPr>
        <w:fldChar w:fldCharType="separate"/>
      </w:r>
      <w:r>
        <w:rPr>
          <w:rStyle w:val="24"/>
          <w:rFonts w:hint="eastAsia" w:ascii="仿宋_GB2312" w:eastAsia="仿宋_GB2312"/>
          <w:sz w:val="32"/>
          <w:szCs w:val="32"/>
        </w:rPr>
        <w:t>http://www.t</w:t>
      </w:r>
      <w:bookmarkStart w:id="1" w:name="_Hlt40174259"/>
      <w:bookmarkStart w:id="2" w:name="_Hlt40174258"/>
      <w:r>
        <w:rPr>
          <w:rStyle w:val="24"/>
          <w:rFonts w:hint="eastAsia" w:ascii="仿宋_GB2312" w:eastAsia="仿宋_GB2312"/>
          <w:sz w:val="32"/>
          <w:szCs w:val="32"/>
        </w:rPr>
        <w:t>s</w:t>
      </w:r>
      <w:bookmarkEnd w:id="1"/>
      <w:bookmarkEnd w:id="2"/>
      <w:r>
        <w:rPr>
          <w:rStyle w:val="24"/>
          <w:rFonts w:hint="eastAsia" w:ascii="仿宋_GB2312" w:eastAsia="仿宋_GB2312"/>
          <w:sz w:val="32"/>
          <w:szCs w:val="32"/>
        </w:rPr>
        <w:t>kp.org.cn/</w:t>
      </w:r>
      <w:r>
        <w:rPr>
          <w:rFonts w:hint="eastAsia" w:ascii="仿宋_GB2312" w:eastAsia="仿宋_GB2312"/>
          <w:sz w:val="32"/>
          <w:szCs w:val="32"/>
        </w:rPr>
        <w:fldChar w:fldCharType="end"/>
      </w:r>
      <w:r>
        <w:rPr>
          <w:rFonts w:hint="eastAsia" w:ascii="仿宋_GB2312"/>
          <w:sz w:val="24"/>
        </w:rPr>
        <w:t xml:space="preserve">自行下载。 </w:t>
      </w:r>
    </w:p>
    <w:p>
      <w:pPr>
        <w:adjustRightInd w:val="0"/>
        <w:snapToGrid w:val="0"/>
        <w:spacing w:line="360" w:lineRule="auto"/>
        <w:ind w:firstLine="480" w:firstLineChars="200"/>
        <w:rPr>
          <w:sz w:val="24"/>
          <w:szCs w:val="24"/>
        </w:rPr>
      </w:pPr>
      <w:r>
        <w:rPr>
          <w:rFonts w:hint="eastAsia"/>
          <w:sz w:val="24"/>
          <w:szCs w:val="24"/>
        </w:rPr>
        <w:t>11.保证金：本次不需交保证金</w:t>
      </w:r>
    </w:p>
    <w:p>
      <w:pPr>
        <w:adjustRightInd w:val="0"/>
        <w:snapToGrid w:val="0"/>
        <w:spacing w:line="360" w:lineRule="auto"/>
        <w:ind w:firstLine="480" w:firstLineChars="200"/>
        <w:rPr>
          <w:rFonts w:hint="eastAsia"/>
          <w:sz w:val="24"/>
          <w:szCs w:val="24"/>
        </w:rPr>
      </w:pPr>
      <w:r>
        <w:rPr>
          <w:rFonts w:hint="eastAsia"/>
          <w:sz w:val="24"/>
          <w:szCs w:val="24"/>
        </w:rPr>
        <w:t>12.</w:t>
      </w:r>
      <w:r>
        <w:rPr>
          <w:rFonts w:hint="eastAsia"/>
          <w:sz w:val="24"/>
        </w:rPr>
        <w:t>现场考</w:t>
      </w:r>
      <w:r>
        <w:rPr>
          <w:rFonts w:hint="eastAsia"/>
          <w:sz w:val="24"/>
          <w:szCs w:val="24"/>
        </w:rPr>
        <w:t>察或答疑会不进行统一组织：供应商自行与采购人联系</w:t>
      </w:r>
    </w:p>
    <w:p>
      <w:pPr>
        <w:adjustRightInd w:val="0"/>
        <w:snapToGrid w:val="0"/>
        <w:spacing w:line="360" w:lineRule="auto"/>
        <w:ind w:firstLine="480" w:firstLineChars="200"/>
        <w:rPr>
          <w:rFonts w:hint="eastAsia"/>
          <w:sz w:val="24"/>
          <w:szCs w:val="24"/>
        </w:rPr>
      </w:pPr>
      <w:r>
        <w:rPr>
          <w:rFonts w:hint="eastAsia"/>
          <w:sz w:val="24"/>
          <w:szCs w:val="24"/>
        </w:rPr>
        <w:t>13 递交投标文件截止时间及开标时间：2020年</w:t>
      </w:r>
      <w:r>
        <w:rPr>
          <w:rFonts w:hint="eastAsia"/>
          <w:sz w:val="24"/>
          <w:szCs w:val="24"/>
          <w:lang w:val="en-US" w:eastAsia="zh-CN"/>
        </w:rPr>
        <w:t>6</w:t>
      </w:r>
      <w:r>
        <w:rPr>
          <w:rFonts w:hint="eastAsia"/>
          <w:sz w:val="24"/>
          <w:szCs w:val="24"/>
        </w:rPr>
        <w:t>月</w:t>
      </w:r>
      <w:r>
        <w:rPr>
          <w:rFonts w:hint="eastAsia"/>
          <w:sz w:val="24"/>
          <w:szCs w:val="24"/>
          <w:lang w:val="en-US" w:eastAsia="zh-CN"/>
        </w:rPr>
        <w:t>2</w:t>
      </w:r>
      <w:r>
        <w:rPr>
          <w:rFonts w:hint="eastAsia"/>
          <w:sz w:val="24"/>
          <w:szCs w:val="24"/>
        </w:rPr>
        <w:t>日 北京时间：09:30</w:t>
      </w:r>
    </w:p>
    <w:p>
      <w:pPr>
        <w:adjustRightInd w:val="0"/>
        <w:snapToGrid w:val="0"/>
        <w:spacing w:line="360" w:lineRule="auto"/>
        <w:ind w:firstLine="480" w:firstLineChars="200"/>
        <w:rPr>
          <w:color w:val="FF0000"/>
        </w:rPr>
      </w:pPr>
      <w:r>
        <w:rPr>
          <w:rFonts w:hint="eastAsia"/>
          <w:sz w:val="24"/>
          <w:szCs w:val="24"/>
        </w:rPr>
        <w:t>14.递交投标文件及开标地点：唐山市科协四楼会议室 （西山道9号）</w:t>
      </w:r>
      <w:r>
        <w:rPr>
          <w:rFonts w:hint="eastAsia" w:cs="宋体"/>
          <w:color w:val="FF0000"/>
          <w:sz w:val="24"/>
          <w:szCs w:val="24"/>
        </w:rPr>
        <w:t xml:space="preserve"> </w:t>
      </w:r>
    </w:p>
    <w:p>
      <w:pPr>
        <w:adjustRightInd w:val="0"/>
        <w:snapToGrid w:val="0"/>
        <w:spacing w:line="360" w:lineRule="auto"/>
        <w:ind w:firstLine="480" w:firstLineChars="200"/>
        <w:rPr>
          <w:sz w:val="24"/>
          <w:szCs w:val="24"/>
        </w:rPr>
      </w:pPr>
      <w:r>
        <w:rPr>
          <w:rFonts w:hint="eastAsia"/>
          <w:sz w:val="24"/>
          <w:szCs w:val="24"/>
        </w:rPr>
        <w:t>15. 采购人：唐山市科学技术协会</w:t>
      </w:r>
    </w:p>
    <w:p>
      <w:pPr>
        <w:adjustRightInd w:val="0"/>
        <w:snapToGrid w:val="0"/>
        <w:spacing w:line="360" w:lineRule="auto"/>
        <w:ind w:firstLine="960" w:firstLineChars="400"/>
        <w:rPr>
          <w:sz w:val="24"/>
          <w:szCs w:val="24"/>
        </w:rPr>
      </w:pPr>
      <w:r>
        <w:rPr>
          <w:rFonts w:hint="eastAsia"/>
          <w:sz w:val="24"/>
          <w:szCs w:val="24"/>
        </w:rPr>
        <w:t>联系人：刘星彤</w:t>
      </w:r>
    </w:p>
    <w:p>
      <w:pPr>
        <w:adjustRightInd w:val="0"/>
        <w:snapToGrid w:val="0"/>
        <w:spacing w:line="360" w:lineRule="auto"/>
        <w:ind w:firstLine="960" w:firstLineChars="400"/>
        <w:rPr>
          <w:sz w:val="24"/>
          <w:szCs w:val="24"/>
        </w:rPr>
      </w:pPr>
      <w:r>
        <w:rPr>
          <w:rFonts w:hint="eastAsia"/>
          <w:sz w:val="24"/>
          <w:szCs w:val="24"/>
        </w:rPr>
        <w:t>联系电话：0315-2829482      18931586889</w:t>
      </w:r>
    </w:p>
    <w:p>
      <w:pPr>
        <w:adjustRightInd w:val="0"/>
        <w:snapToGrid w:val="0"/>
        <w:spacing w:line="360" w:lineRule="auto"/>
        <w:ind w:firstLine="960" w:firstLineChars="400"/>
        <w:rPr>
          <w:sz w:val="24"/>
          <w:szCs w:val="24"/>
        </w:rPr>
      </w:pPr>
      <w:r>
        <w:rPr>
          <w:rFonts w:hint="eastAsia"/>
          <w:sz w:val="24"/>
          <w:szCs w:val="24"/>
        </w:rPr>
        <w:t>通讯地址：唐山市西山道9号</w:t>
      </w:r>
    </w:p>
    <w:p>
      <w:pPr>
        <w:adjustRightInd w:val="0"/>
        <w:snapToGrid w:val="0"/>
        <w:spacing w:line="360" w:lineRule="auto"/>
        <w:ind w:firstLine="480" w:firstLineChars="200"/>
        <w:rPr>
          <w:sz w:val="24"/>
          <w:szCs w:val="24"/>
        </w:rPr>
      </w:pPr>
    </w:p>
    <w:p>
      <w:pPr>
        <w:adjustRightInd w:val="0"/>
        <w:snapToGrid w:val="0"/>
        <w:jc w:val="center"/>
        <w:outlineLvl w:val="0"/>
        <w:rPr>
          <w:rFonts w:ascii="楷体_GB2312" w:eastAsia="楷体_GB2312"/>
          <w:b/>
          <w:sz w:val="44"/>
          <w:szCs w:val="44"/>
        </w:rPr>
      </w:pPr>
      <w:bookmarkStart w:id="3" w:name="_Toc11938054"/>
      <w:r>
        <w:rPr>
          <w:rFonts w:hint="eastAsia" w:ascii="楷体_GB2312" w:eastAsia="楷体_GB2312"/>
          <w:b/>
          <w:sz w:val="44"/>
        </w:rPr>
        <w:t>第二部分  采购项目的相关要求</w:t>
      </w:r>
      <w:bookmarkEnd w:id="3"/>
    </w:p>
    <w:p>
      <w:pPr>
        <w:adjustRightInd w:val="0"/>
        <w:snapToGrid w:val="0"/>
        <w:spacing w:line="360" w:lineRule="auto"/>
        <w:ind w:firstLine="482" w:firstLineChars="200"/>
        <w:rPr>
          <w:b/>
          <w:sz w:val="24"/>
          <w:szCs w:val="24"/>
        </w:rPr>
      </w:pPr>
      <w:r>
        <w:rPr>
          <w:rFonts w:hint="eastAsia"/>
          <w:b/>
          <w:bCs/>
          <w:sz w:val="24"/>
          <w:szCs w:val="24"/>
        </w:rPr>
        <w:t>招标文件中不允许偏离的实质性要求和条件为“★”号</w:t>
      </w:r>
    </w:p>
    <w:p>
      <w:pPr>
        <w:adjustRightInd w:val="0"/>
        <w:snapToGrid w:val="0"/>
        <w:spacing w:line="360" w:lineRule="auto"/>
        <w:ind w:firstLine="479" w:firstLineChars="199"/>
        <w:rPr>
          <w:rFonts w:hint="eastAsia"/>
          <w:b/>
          <w:sz w:val="24"/>
        </w:rPr>
      </w:pPr>
      <w:r>
        <w:rPr>
          <w:rFonts w:hint="eastAsia"/>
          <w:b/>
          <w:sz w:val="24"/>
          <w:lang w:val="en-US" w:eastAsia="zh-CN"/>
        </w:rPr>
        <w:t>一、</w:t>
      </w:r>
      <w:r>
        <w:rPr>
          <w:rFonts w:hint="eastAsia"/>
          <w:b/>
          <w:sz w:val="24"/>
        </w:rPr>
        <w:t>项目说明</w:t>
      </w:r>
    </w:p>
    <w:p>
      <w:pPr>
        <w:adjustRightInd w:val="0"/>
        <w:snapToGrid w:val="0"/>
        <w:spacing w:line="360" w:lineRule="auto"/>
        <w:ind w:firstLine="480" w:firstLineChars="200"/>
        <w:rPr>
          <w:rFonts w:hint="eastAsia"/>
          <w:sz w:val="24"/>
          <w:szCs w:val="24"/>
        </w:rPr>
      </w:pPr>
      <w:r>
        <w:rPr>
          <w:rFonts w:hint="eastAsia"/>
          <w:sz w:val="24"/>
          <w:szCs w:val="24"/>
        </w:rPr>
        <w:t>唐山市科技工作者创新创业基地,简称双创基地</w:t>
      </w:r>
      <w:r>
        <w:rPr>
          <w:rFonts w:hint="eastAsia"/>
          <w:sz w:val="24"/>
          <w:szCs w:val="24"/>
          <w:lang w:eastAsia="zh-CN"/>
        </w:rPr>
        <w:t>，</w:t>
      </w:r>
      <w:r>
        <w:rPr>
          <w:rFonts w:hint="eastAsia"/>
          <w:sz w:val="24"/>
          <w:szCs w:val="24"/>
          <w:lang w:val="en-US" w:eastAsia="zh-CN"/>
        </w:rPr>
        <w:t>建筑面积800平米</w:t>
      </w:r>
      <w:r>
        <w:rPr>
          <w:rFonts w:hint="eastAsia"/>
          <w:sz w:val="24"/>
          <w:szCs w:val="24"/>
        </w:rPr>
        <w:t>。</w:t>
      </w:r>
      <w:r>
        <w:rPr>
          <w:rFonts w:hint="eastAsia"/>
          <w:sz w:val="24"/>
          <w:szCs w:val="24"/>
          <w:lang w:val="en-US" w:eastAsia="zh-CN"/>
        </w:rPr>
        <w:t>双创</w:t>
      </w:r>
      <w:r>
        <w:rPr>
          <w:rFonts w:hint="eastAsia"/>
          <w:sz w:val="24"/>
          <w:szCs w:val="24"/>
        </w:rPr>
        <w:t>基地以科技工作者</w:t>
      </w:r>
      <w:r>
        <w:rPr>
          <w:rFonts w:hint="eastAsia"/>
          <w:sz w:val="24"/>
          <w:szCs w:val="24"/>
          <w:lang w:val="en-US" w:eastAsia="zh-CN"/>
        </w:rPr>
        <w:t>创新</w:t>
      </w:r>
      <w:r>
        <w:rPr>
          <w:rFonts w:hint="eastAsia"/>
          <w:sz w:val="24"/>
          <w:szCs w:val="24"/>
        </w:rPr>
        <w:t>创业提供帮助为主导思想，是在国家大力倡导全民创业的整体趋势下成立的一个具有全新理念的综合性双创基地。为我市的科技工作者、高院校毕业生和中小型科技企业提供研发、开拓市场等前期工作，可进行培训主题、培训课程的开发，促进科技创新成果转化，并提供多方面的支持。</w:t>
      </w:r>
    </w:p>
    <w:p>
      <w:pPr>
        <w:adjustRightInd w:val="0"/>
        <w:snapToGrid w:val="0"/>
        <w:spacing w:line="360" w:lineRule="auto"/>
        <w:ind w:firstLine="477" w:firstLineChars="199"/>
        <w:rPr>
          <w:b/>
          <w:sz w:val="24"/>
        </w:rPr>
      </w:pPr>
      <w:r>
        <w:rPr>
          <w:rFonts w:hint="eastAsia"/>
          <w:sz w:val="24"/>
        </w:rPr>
        <w:t>二、</w:t>
      </w:r>
      <w:r>
        <w:rPr>
          <w:rFonts w:hint="eastAsia"/>
          <w:b/>
          <w:sz w:val="24"/>
        </w:rPr>
        <w:t>政府采购预算为（人民币）：</w:t>
      </w:r>
      <w:r>
        <w:rPr>
          <w:rFonts w:hint="eastAsia"/>
          <w:sz w:val="24"/>
        </w:rPr>
        <w:t>0元</w:t>
      </w:r>
      <w:r>
        <w:rPr>
          <w:rFonts w:hint="eastAsia"/>
          <w:b/>
          <w:sz w:val="24"/>
        </w:rPr>
        <w:t>（投标文件中报价高于此预算的为无效投标文件）</w:t>
      </w:r>
    </w:p>
    <w:p>
      <w:pPr>
        <w:tabs>
          <w:tab w:val="left" w:pos="966"/>
          <w:tab w:val="left" w:pos="1127"/>
          <w:tab w:val="left" w:pos="1610"/>
          <w:tab w:val="left" w:pos="1771"/>
        </w:tabs>
        <w:adjustRightInd w:val="0"/>
        <w:snapToGrid w:val="0"/>
        <w:spacing w:line="360" w:lineRule="auto"/>
        <w:ind w:firstLine="482" w:firstLineChars="200"/>
        <w:rPr>
          <w:b/>
          <w:sz w:val="24"/>
        </w:rPr>
      </w:pPr>
      <w:r>
        <w:rPr>
          <w:rFonts w:hint="eastAsia"/>
          <w:b/>
          <w:sz w:val="24"/>
        </w:rPr>
        <w:t>三、服务内容：</w:t>
      </w:r>
    </w:p>
    <w:p>
      <w:pPr>
        <w:adjustRightInd w:val="0"/>
        <w:snapToGrid w:val="0"/>
        <w:spacing w:line="360" w:lineRule="auto"/>
        <w:ind w:firstLine="482" w:firstLineChars="200"/>
        <w:rPr>
          <w:b/>
          <w:bCs/>
          <w:sz w:val="24"/>
          <w:szCs w:val="24"/>
        </w:rPr>
      </w:pPr>
      <w:r>
        <w:rPr>
          <w:rFonts w:hint="eastAsia"/>
          <w:b/>
          <w:bCs/>
          <w:sz w:val="24"/>
          <w:szCs w:val="24"/>
        </w:rPr>
        <w:t>（一）服务内容：</w:t>
      </w:r>
    </w:p>
    <w:p>
      <w:pPr>
        <w:adjustRightInd w:val="0"/>
        <w:snapToGrid w:val="0"/>
        <w:spacing w:line="360" w:lineRule="auto"/>
        <w:ind w:firstLine="480" w:firstLineChars="200"/>
        <w:rPr>
          <w:sz w:val="24"/>
          <w:szCs w:val="24"/>
        </w:rPr>
      </w:pPr>
      <w:r>
        <w:rPr>
          <w:rFonts w:hint="eastAsia"/>
          <w:sz w:val="24"/>
          <w:szCs w:val="24"/>
        </w:rPr>
        <w:t>1.项目整体打包运营服务的基本模式</w:t>
      </w:r>
    </w:p>
    <w:p>
      <w:pPr>
        <w:adjustRightInd w:val="0"/>
        <w:snapToGrid w:val="0"/>
        <w:spacing w:line="360" w:lineRule="auto"/>
        <w:ind w:firstLine="480" w:firstLineChars="200"/>
        <w:rPr>
          <w:sz w:val="24"/>
          <w:szCs w:val="24"/>
        </w:rPr>
      </w:pPr>
      <w:r>
        <w:rPr>
          <w:rFonts w:hint="eastAsia"/>
          <w:sz w:val="24"/>
          <w:szCs w:val="24"/>
        </w:rPr>
        <w:t>双创基地的运行管理拟采用委托运行管理模式，即限项限价收费，采购人进行监督和考核，中标人自主管理经营、自负盈亏的模式。根据现代双创基地运行管理内在运营规律，并结合唐山市科技工作者需求，充分发挥双创基地在提升科技工作者创新创业能力方面的优势和作用，大力开展形式多样、内容丰富的科普活动，把双创基地运营成为“着眼全球、国内一流、唐山特色”的双创基地。</w:t>
      </w:r>
    </w:p>
    <w:p>
      <w:pPr>
        <w:adjustRightInd w:val="0"/>
        <w:snapToGrid w:val="0"/>
        <w:spacing w:line="360" w:lineRule="auto"/>
        <w:ind w:firstLine="480" w:firstLineChars="200"/>
        <w:rPr>
          <w:sz w:val="24"/>
          <w:szCs w:val="24"/>
        </w:rPr>
      </w:pPr>
      <w:r>
        <w:rPr>
          <w:rFonts w:hint="eastAsia"/>
          <w:sz w:val="24"/>
          <w:szCs w:val="24"/>
        </w:rPr>
        <w:t>2.中标人区域使用权：唐山科技馆六层800平米唐山市科技工作者创新创业基地。</w:t>
      </w:r>
    </w:p>
    <w:p>
      <w:pPr>
        <w:adjustRightInd w:val="0"/>
        <w:snapToGrid w:val="0"/>
        <w:spacing w:line="360" w:lineRule="auto"/>
        <w:ind w:firstLine="480" w:firstLineChars="200"/>
        <w:rPr>
          <w:sz w:val="24"/>
          <w:szCs w:val="24"/>
        </w:rPr>
      </w:pPr>
      <w:r>
        <w:rPr>
          <w:rFonts w:hint="eastAsia"/>
          <w:sz w:val="24"/>
          <w:szCs w:val="24"/>
        </w:rPr>
        <w:t>3.采购人进行监督和考核：在项目服务过程中，采购人对中标人的服务情况、业务开展情况、企业孵化情况、资金收支情况等进行监督，对中标人进行考核。</w:t>
      </w:r>
    </w:p>
    <w:p>
      <w:pPr>
        <w:adjustRightInd w:val="0"/>
        <w:snapToGrid w:val="0"/>
        <w:spacing w:line="360" w:lineRule="auto"/>
        <w:ind w:firstLine="480" w:firstLineChars="200"/>
        <w:rPr>
          <w:sz w:val="24"/>
          <w:szCs w:val="24"/>
        </w:rPr>
      </w:pPr>
      <w:r>
        <w:rPr>
          <w:rFonts w:hint="eastAsia"/>
          <w:sz w:val="24"/>
          <w:szCs w:val="24"/>
        </w:rPr>
        <w:t>4.中标人自主经营管理：中标人根据自己在中标文件中承诺的服务方案实施，相关人员的招聘、录用、培训等均须有记录。</w:t>
      </w:r>
    </w:p>
    <w:p>
      <w:pPr>
        <w:adjustRightInd w:val="0"/>
        <w:snapToGrid w:val="0"/>
        <w:spacing w:line="360" w:lineRule="auto"/>
        <w:ind w:firstLine="480" w:firstLineChars="200"/>
        <w:rPr>
          <w:sz w:val="24"/>
          <w:szCs w:val="24"/>
        </w:rPr>
      </w:pPr>
      <w:r>
        <w:rPr>
          <w:rFonts w:hint="eastAsia"/>
          <w:sz w:val="24"/>
          <w:szCs w:val="24"/>
        </w:rPr>
        <w:t>5.收费项目：中标人收费项目需要有关部门进行审批，并参照相关法律、规定实施，中标人收取入驻企业管理服务费要低于市场价格的30%，中标人可以与入驻企业约定按孵化成功的项目收益进行分成。</w:t>
      </w:r>
    </w:p>
    <w:p>
      <w:pPr>
        <w:adjustRightInd w:val="0"/>
        <w:snapToGrid w:val="0"/>
        <w:spacing w:line="360" w:lineRule="auto"/>
        <w:ind w:firstLine="480" w:firstLineChars="200"/>
        <w:rPr>
          <w:sz w:val="24"/>
          <w:szCs w:val="24"/>
        </w:rPr>
      </w:pPr>
      <w:r>
        <w:rPr>
          <w:rFonts w:hint="eastAsia"/>
          <w:sz w:val="24"/>
          <w:szCs w:val="24"/>
        </w:rPr>
        <w:t>6.运营管理服务方式：总体运营管理服务。不接受分包或转包，如有分包或转包行为，视同违约，采购人有权解除合同，并追究因此造成的损失。</w:t>
      </w:r>
    </w:p>
    <w:p>
      <w:pPr>
        <w:adjustRightInd w:val="0"/>
        <w:snapToGrid w:val="0"/>
        <w:spacing w:line="360" w:lineRule="auto"/>
        <w:ind w:firstLine="480" w:firstLineChars="200"/>
        <w:rPr>
          <w:sz w:val="24"/>
          <w:szCs w:val="24"/>
        </w:rPr>
      </w:pPr>
      <w:r>
        <w:rPr>
          <w:rFonts w:hint="eastAsia"/>
          <w:sz w:val="24"/>
          <w:szCs w:val="24"/>
        </w:rPr>
        <w:t>7.招标范围：双创基地运营、日常管理及所应承担的全部社会职能和相关服务等，并不限于此。</w:t>
      </w:r>
    </w:p>
    <w:p>
      <w:pPr>
        <w:adjustRightInd w:val="0"/>
        <w:snapToGrid w:val="0"/>
        <w:spacing w:line="360" w:lineRule="auto"/>
        <w:ind w:firstLine="482" w:firstLineChars="200"/>
        <w:rPr>
          <w:b/>
          <w:bCs/>
          <w:sz w:val="24"/>
          <w:szCs w:val="24"/>
        </w:rPr>
      </w:pPr>
      <w:r>
        <w:rPr>
          <w:rFonts w:hint="eastAsia"/>
          <w:b/>
          <w:bCs/>
          <w:sz w:val="24"/>
          <w:szCs w:val="24"/>
        </w:rPr>
        <w:t>（二）服务标准要求：</w:t>
      </w:r>
    </w:p>
    <w:p>
      <w:pPr>
        <w:adjustRightInd w:val="0"/>
        <w:snapToGrid w:val="0"/>
        <w:spacing w:line="360" w:lineRule="auto"/>
        <w:ind w:firstLine="480" w:firstLineChars="200"/>
        <w:rPr>
          <w:sz w:val="24"/>
          <w:szCs w:val="24"/>
        </w:rPr>
      </w:pPr>
      <w:r>
        <w:rPr>
          <w:rFonts w:hint="eastAsia"/>
          <w:sz w:val="24"/>
          <w:szCs w:val="24"/>
        </w:rPr>
        <w:t>1.基本任务</w:t>
      </w:r>
    </w:p>
    <w:p>
      <w:pPr>
        <w:adjustRightInd w:val="0"/>
        <w:snapToGrid w:val="0"/>
        <w:spacing w:line="360" w:lineRule="auto"/>
        <w:ind w:firstLine="480" w:firstLineChars="200"/>
        <w:rPr>
          <w:sz w:val="24"/>
          <w:szCs w:val="24"/>
        </w:rPr>
      </w:pPr>
      <w:r>
        <w:rPr>
          <w:rFonts w:hint="eastAsia"/>
          <w:sz w:val="24"/>
          <w:szCs w:val="24"/>
        </w:rPr>
        <w:t>①通过创办“创业之星”大讲堂等系列创业知识培训班，为广大科技工作者及入驻企业、团队普及创业知识；</w:t>
      </w:r>
    </w:p>
    <w:p>
      <w:pPr>
        <w:adjustRightInd w:val="0"/>
        <w:snapToGrid w:val="0"/>
        <w:spacing w:line="360" w:lineRule="auto"/>
        <w:ind w:firstLine="480" w:firstLineChars="200"/>
        <w:rPr>
          <w:sz w:val="24"/>
          <w:szCs w:val="24"/>
        </w:rPr>
      </w:pPr>
      <w:r>
        <w:rPr>
          <w:rFonts w:hint="eastAsia"/>
          <w:sz w:val="24"/>
          <w:szCs w:val="24"/>
        </w:rPr>
        <w:t>②通过组织创新创业大赛、模拟路演大赛等比赛活动提升科技工作者的创新创业能力；</w:t>
      </w:r>
    </w:p>
    <w:p>
      <w:pPr>
        <w:adjustRightInd w:val="0"/>
        <w:snapToGrid w:val="0"/>
        <w:spacing w:line="360" w:lineRule="auto"/>
        <w:ind w:firstLine="480" w:firstLineChars="200"/>
        <w:rPr>
          <w:sz w:val="24"/>
          <w:szCs w:val="24"/>
        </w:rPr>
      </w:pPr>
      <w:r>
        <w:rPr>
          <w:rFonts w:hint="eastAsia"/>
          <w:sz w:val="24"/>
          <w:szCs w:val="24"/>
        </w:rPr>
        <w:t>③紧密联系外部公司企业，为广大科技工作者提供更多的创业、就业信息，为广大科技工作者接触社会工作提供便利，鼓励科技工作者进行创业实践，争取成为科技工作者创业孵化基地的“孵化器”；</w:t>
      </w:r>
    </w:p>
    <w:p>
      <w:pPr>
        <w:adjustRightInd w:val="0"/>
        <w:snapToGrid w:val="0"/>
        <w:spacing w:line="360" w:lineRule="auto"/>
        <w:ind w:firstLine="480" w:firstLineChars="200"/>
        <w:rPr>
          <w:sz w:val="24"/>
          <w:szCs w:val="24"/>
        </w:rPr>
      </w:pPr>
      <w:r>
        <w:rPr>
          <w:rFonts w:hint="eastAsia"/>
          <w:sz w:val="24"/>
          <w:szCs w:val="24"/>
        </w:rPr>
        <w:t>④通过知识的普及、能力的培养和实践的锻炼等，增强科技工作者的创业意识，在全校激发和鼓励大学生创业热情，培养一批有深入、全面世界眼光和创业潜质的人才。</w:t>
      </w:r>
    </w:p>
    <w:p>
      <w:pPr>
        <w:adjustRightInd w:val="0"/>
        <w:snapToGrid w:val="0"/>
        <w:spacing w:line="360" w:lineRule="auto"/>
        <w:ind w:firstLine="480" w:firstLineChars="200"/>
        <w:rPr>
          <w:sz w:val="24"/>
          <w:szCs w:val="24"/>
        </w:rPr>
      </w:pPr>
      <w:r>
        <w:rPr>
          <w:rFonts w:hint="eastAsia"/>
          <w:sz w:val="24"/>
          <w:szCs w:val="24"/>
        </w:rPr>
        <w:t>2.项目运营管理目标</w:t>
      </w:r>
    </w:p>
    <w:p>
      <w:pPr>
        <w:adjustRightInd w:val="0"/>
        <w:snapToGrid w:val="0"/>
        <w:spacing w:line="360" w:lineRule="auto"/>
        <w:ind w:firstLine="480" w:firstLineChars="200"/>
        <w:rPr>
          <w:sz w:val="24"/>
          <w:szCs w:val="24"/>
        </w:rPr>
      </w:pPr>
      <w:r>
        <w:rPr>
          <w:rFonts w:hint="eastAsia"/>
          <w:sz w:val="24"/>
          <w:szCs w:val="24"/>
        </w:rPr>
        <w:t>第一年企业入驻率达到10家以上科技创新类企业入驻；</w:t>
      </w:r>
    </w:p>
    <w:p>
      <w:pPr>
        <w:adjustRightInd w:val="0"/>
        <w:snapToGrid w:val="0"/>
        <w:spacing w:line="360" w:lineRule="auto"/>
        <w:ind w:firstLine="480" w:firstLineChars="200"/>
        <w:rPr>
          <w:sz w:val="24"/>
          <w:szCs w:val="24"/>
        </w:rPr>
      </w:pPr>
      <w:r>
        <w:rPr>
          <w:rFonts w:hint="eastAsia"/>
          <w:sz w:val="24"/>
          <w:szCs w:val="24"/>
        </w:rPr>
        <w:t>第二年达到唐山市级创新创业基地标准；</w:t>
      </w:r>
    </w:p>
    <w:p>
      <w:pPr>
        <w:adjustRightInd w:val="0"/>
        <w:snapToGrid w:val="0"/>
        <w:spacing w:line="360" w:lineRule="auto"/>
        <w:ind w:firstLine="480" w:firstLineChars="200"/>
        <w:rPr>
          <w:sz w:val="24"/>
          <w:szCs w:val="24"/>
        </w:rPr>
      </w:pPr>
      <w:r>
        <w:rPr>
          <w:rFonts w:hint="eastAsia"/>
          <w:sz w:val="24"/>
          <w:szCs w:val="24"/>
        </w:rPr>
        <w:t>第三年达到河北省级创新创业基地标准。</w:t>
      </w:r>
    </w:p>
    <w:p>
      <w:pPr>
        <w:adjustRightInd w:val="0"/>
        <w:snapToGrid w:val="0"/>
        <w:spacing w:line="360" w:lineRule="auto"/>
        <w:ind w:firstLine="482" w:firstLineChars="200"/>
        <w:rPr>
          <w:b/>
          <w:bCs/>
          <w:sz w:val="24"/>
          <w:szCs w:val="24"/>
        </w:rPr>
      </w:pPr>
      <w:r>
        <w:rPr>
          <w:rFonts w:hint="eastAsia"/>
          <w:b/>
          <w:bCs/>
          <w:sz w:val="24"/>
          <w:szCs w:val="24"/>
        </w:rPr>
        <w:t>（三）服务团队要求：</w:t>
      </w:r>
    </w:p>
    <w:p>
      <w:pPr>
        <w:adjustRightInd w:val="0"/>
        <w:snapToGrid w:val="0"/>
        <w:spacing w:line="360" w:lineRule="auto"/>
        <w:ind w:firstLine="480" w:firstLineChars="200"/>
        <w:rPr>
          <w:sz w:val="24"/>
          <w:szCs w:val="24"/>
        </w:rPr>
      </w:pPr>
      <w:r>
        <w:rPr>
          <w:rFonts w:hint="eastAsia"/>
          <w:sz w:val="24"/>
          <w:szCs w:val="24"/>
        </w:rPr>
        <w:t>1.团队要求：具有三年以上科技型公共服务平台运营管理经验的团队，管理人员要具有三年以上的工作经验并有一定专利知识和科技成果转化经验。</w:t>
      </w:r>
    </w:p>
    <w:p>
      <w:pPr>
        <w:adjustRightInd w:val="0"/>
        <w:snapToGrid w:val="0"/>
        <w:spacing w:line="360" w:lineRule="auto"/>
        <w:ind w:firstLine="480" w:firstLineChars="200"/>
        <w:rPr>
          <w:sz w:val="24"/>
          <w:szCs w:val="24"/>
        </w:rPr>
      </w:pPr>
      <w:r>
        <w:rPr>
          <w:rFonts w:hint="eastAsia"/>
          <w:sz w:val="24"/>
          <w:szCs w:val="24"/>
        </w:rPr>
        <w:t>2.员工年度教育培训不少于40学时，并有培训工作计划、培训内容、参训人员名单。</w:t>
      </w:r>
    </w:p>
    <w:p>
      <w:pPr>
        <w:adjustRightInd w:val="0"/>
        <w:snapToGrid w:val="0"/>
        <w:spacing w:line="360" w:lineRule="auto"/>
        <w:ind w:firstLine="480" w:firstLineChars="200"/>
        <w:rPr>
          <w:sz w:val="24"/>
          <w:szCs w:val="24"/>
        </w:rPr>
      </w:pPr>
      <w:r>
        <w:rPr>
          <w:rFonts w:hint="eastAsia"/>
          <w:sz w:val="24"/>
          <w:szCs w:val="24"/>
        </w:rPr>
        <w:t>3.员工要积极参加行业技能竞赛、科学教育项目研究、撰写学术论文、科普文章等活动。</w:t>
      </w:r>
      <w:r>
        <w:rPr>
          <w:sz w:val="24"/>
          <w:szCs w:val="24"/>
        </w:rPr>
        <w:t xml:space="preserve"> </w:t>
      </w:r>
    </w:p>
    <w:p>
      <w:pPr>
        <w:adjustRightInd w:val="0"/>
        <w:snapToGrid w:val="0"/>
        <w:spacing w:line="360" w:lineRule="auto"/>
        <w:ind w:firstLine="482" w:firstLineChars="200"/>
        <w:rPr>
          <w:rFonts w:hint="eastAsia"/>
          <w:b/>
          <w:bCs/>
          <w:sz w:val="24"/>
          <w:szCs w:val="24"/>
        </w:rPr>
      </w:pPr>
      <w:r>
        <w:rPr>
          <w:rFonts w:hint="eastAsia"/>
          <w:b/>
          <w:bCs/>
          <w:sz w:val="24"/>
          <w:szCs w:val="24"/>
        </w:rPr>
        <w:t>（四）考核要求：</w:t>
      </w:r>
    </w:p>
    <w:p>
      <w:pPr>
        <w:adjustRightInd w:val="0"/>
        <w:snapToGrid w:val="0"/>
        <w:spacing w:line="360" w:lineRule="auto"/>
        <w:ind w:firstLine="480" w:firstLineChars="200"/>
        <w:rPr>
          <w:rFonts w:hint="eastAsia"/>
          <w:sz w:val="24"/>
          <w:szCs w:val="24"/>
        </w:rPr>
      </w:pPr>
      <w:r>
        <w:rPr>
          <w:rFonts w:hint="eastAsia"/>
          <w:sz w:val="24"/>
          <w:szCs w:val="24"/>
          <w:lang w:val="en-US" w:eastAsia="zh-CN"/>
        </w:rPr>
        <w:t>市科协从</w:t>
      </w:r>
      <w:r>
        <w:rPr>
          <w:rFonts w:hint="eastAsia"/>
          <w:sz w:val="24"/>
          <w:szCs w:val="24"/>
        </w:rPr>
        <w:t>基础服务能力</w:t>
      </w:r>
      <w:r>
        <w:rPr>
          <w:rFonts w:hint="eastAsia"/>
          <w:sz w:val="24"/>
          <w:szCs w:val="24"/>
          <w:lang w:eastAsia="zh-CN"/>
        </w:rPr>
        <w:t>、</w:t>
      </w:r>
      <w:r>
        <w:rPr>
          <w:rFonts w:hint="eastAsia"/>
          <w:sz w:val="24"/>
          <w:szCs w:val="24"/>
        </w:rPr>
        <w:t>创业服务能力</w:t>
      </w:r>
      <w:r>
        <w:rPr>
          <w:rFonts w:hint="eastAsia"/>
          <w:sz w:val="24"/>
          <w:szCs w:val="24"/>
          <w:lang w:eastAsia="zh-CN"/>
        </w:rPr>
        <w:t>、</w:t>
      </w:r>
      <w:r>
        <w:rPr>
          <w:rFonts w:hint="eastAsia"/>
          <w:sz w:val="24"/>
          <w:szCs w:val="24"/>
        </w:rPr>
        <w:t>创业服务成效</w:t>
      </w:r>
      <w:r>
        <w:rPr>
          <w:rFonts w:hint="eastAsia"/>
          <w:sz w:val="24"/>
          <w:szCs w:val="24"/>
          <w:lang w:eastAsia="zh-CN"/>
        </w:rPr>
        <w:t>、</w:t>
      </w:r>
      <w:r>
        <w:rPr>
          <w:rFonts w:hint="eastAsia"/>
          <w:sz w:val="24"/>
          <w:szCs w:val="24"/>
        </w:rPr>
        <w:t>公共服务成效</w:t>
      </w:r>
      <w:r>
        <w:rPr>
          <w:rFonts w:hint="eastAsia"/>
          <w:sz w:val="24"/>
          <w:szCs w:val="24"/>
          <w:lang w:val="en-US" w:eastAsia="zh-CN"/>
        </w:rPr>
        <w:t>等方面对运营单位进行考核，年度考核不合格将终止合同。</w:t>
      </w:r>
    </w:p>
    <w:p>
      <w:pPr>
        <w:adjustRightInd w:val="0"/>
        <w:snapToGrid w:val="0"/>
        <w:spacing w:line="360" w:lineRule="auto"/>
        <w:ind w:firstLine="480" w:firstLineChars="200"/>
        <w:rPr>
          <w:rFonts w:hint="eastAsia"/>
          <w:sz w:val="24"/>
          <w:szCs w:val="24"/>
        </w:rPr>
      </w:pPr>
      <w:r>
        <w:rPr>
          <w:rFonts w:hint="eastAsia"/>
          <w:sz w:val="24"/>
          <w:szCs w:val="24"/>
        </w:rPr>
        <w:t>1．基础服务能力情况。主要包括运营管理团队，创业场地建设等情况。</w:t>
      </w:r>
    </w:p>
    <w:p>
      <w:pPr>
        <w:adjustRightInd w:val="0"/>
        <w:snapToGrid w:val="0"/>
        <w:spacing w:line="360" w:lineRule="auto"/>
        <w:ind w:firstLine="480" w:firstLineChars="200"/>
        <w:rPr>
          <w:rFonts w:hint="eastAsia"/>
          <w:sz w:val="24"/>
          <w:szCs w:val="24"/>
        </w:rPr>
      </w:pPr>
      <w:r>
        <w:rPr>
          <w:rFonts w:hint="eastAsia"/>
          <w:sz w:val="24"/>
          <w:szCs w:val="24"/>
        </w:rPr>
        <w:t>2．创业服务能力情况。主要包括创新创业活动、创业导师和媒体宣传等情况。</w:t>
      </w:r>
    </w:p>
    <w:p>
      <w:pPr>
        <w:adjustRightInd w:val="0"/>
        <w:snapToGrid w:val="0"/>
        <w:spacing w:line="360" w:lineRule="auto"/>
        <w:ind w:firstLine="480" w:firstLineChars="200"/>
        <w:rPr>
          <w:rFonts w:hint="eastAsia"/>
          <w:sz w:val="24"/>
          <w:szCs w:val="24"/>
        </w:rPr>
      </w:pPr>
      <w:r>
        <w:rPr>
          <w:rFonts w:hint="eastAsia"/>
          <w:sz w:val="24"/>
          <w:szCs w:val="24"/>
        </w:rPr>
        <w:t>3．创业服务成效情况。主要包括年度创业企业数、年度获得国家高新技术企业数、创业企业当年技术合同登记备案、当年新增创业企业数、 在孵企业参加中国创新创业大赛或路演活动等情况。</w:t>
      </w:r>
    </w:p>
    <w:p>
      <w:pPr>
        <w:adjustRightInd w:val="0"/>
        <w:snapToGrid w:val="0"/>
        <w:spacing w:line="360" w:lineRule="auto"/>
        <w:ind w:firstLine="480" w:firstLineChars="200"/>
        <w:rPr>
          <w:rFonts w:hint="eastAsia"/>
          <w:sz w:val="24"/>
          <w:szCs w:val="24"/>
        </w:rPr>
      </w:pPr>
      <w:r>
        <w:rPr>
          <w:rFonts w:hint="eastAsia"/>
          <w:sz w:val="24"/>
          <w:szCs w:val="24"/>
        </w:rPr>
        <w:t>4．公共服务成效情况。主要包括安全办公、配合</w:t>
      </w:r>
      <w:r>
        <w:rPr>
          <w:rFonts w:hint="eastAsia"/>
          <w:sz w:val="24"/>
          <w:szCs w:val="24"/>
          <w:lang w:val="en-US" w:eastAsia="zh-CN"/>
        </w:rPr>
        <w:t>相关</w:t>
      </w:r>
      <w:r>
        <w:rPr>
          <w:rFonts w:hint="eastAsia"/>
          <w:sz w:val="24"/>
          <w:szCs w:val="24"/>
        </w:rPr>
        <w:t>部门推动双创工作和统计工作等情况。</w:t>
      </w:r>
    </w:p>
    <w:p>
      <w:pPr>
        <w:adjustRightInd w:val="0"/>
        <w:snapToGrid w:val="0"/>
        <w:spacing w:line="360" w:lineRule="auto"/>
        <w:ind w:firstLine="480" w:firstLineChars="200"/>
        <w:rPr>
          <w:rFonts w:hint="eastAsia"/>
          <w:sz w:val="24"/>
          <w:szCs w:val="24"/>
        </w:rPr>
      </w:pPr>
      <w:r>
        <w:rPr>
          <w:rFonts w:hint="eastAsia"/>
          <w:sz w:val="24"/>
          <w:szCs w:val="24"/>
        </w:rPr>
        <w:t>5．加分项。主要包括获得省、市级奖项，举办国际化大型活动情况。</w:t>
      </w:r>
    </w:p>
    <w:p>
      <w:pPr>
        <w:adjustRightInd w:val="0"/>
        <w:snapToGrid w:val="0"/>
        <w:spacing w:line="360" w:lineRule="auto"/>
        <w:ind w:firstLine="480" w:firstLineChars="200"/>
        <w:rPr>
          <w:rFonts w:hint="eastAsia"/>
          <w:sz w:val="24"/>
          <w:szCs w:val="24"/>
        </w:rPr>
      </w:pPr>
      <w:r>
        <w:rPr>
          <w:rFonts w:hint="eastAsia"/>
          <w:sz w:val="24"/>
          <w:szCs w:val="24"/>
          <w:lang w:val="en-US" w:eastAsia="zh-CN"/>
        </w:rPr>
        <w:t>6.</w:t>
      </w:r>
      <w:r>
        <w:rPr>
          <w:rFonts w:hint="eastAsia"/>
          <w:sz w:val="24"/>
          <w:szCs w:val="24"/>
        </w:rPr>
        <w:t>运营</w:t>
      </w:r>
      <w:r>
        <w:rPr>
          <w:rFonts w:hint="eastAsia"/>
          <w:sz w:val="24"/>
          <w:szCs w:val="24"/>
          <w:lang w:val="en-US" w:eastAsia="zh-CN"/>
        </w:rPr>
        <w:t>单位</w:t>
      </w:r>
      <w:r>
        <w:rPr>
          <w:rFonts w:hint="eastAsia"/>
          <w:sz w:val="24"/>
          <w:szCs w:val="24"/>
        </w:rPr>
        <w:t>有下列情形之一的，确定为</w:t>
      </w:r>
      <w:r>
        <w:rPr>
          <w:rFonts w:hint="eastAsia"/>
          <w:sz w:val="24"/>
          <w:szCs w:val="24"/>
          <w:lang w:val="en-US" w:eastAsia="zh-CN"/>
        </w:rPr>
        <w:t>考核</w:t>
      </w:r>
      <w:r>
        <w:rPr>
          <w:rFonts w:hint="eastAsia"/>
          <w:sz w:val="24"/>
          <w:szCs w:val="24"/>
        </w:rPr>
        <w:t>不合格：</w:t>
      </w:r>
    </w:p>
    <w:p>
      <w:pPr>
        <w:adjustRightInd w:val="0"/>
        <w:snapToGrid w:val="0"/>
        <w:spacing w:line="360" w:lineRule="auto"/>
        <w:ind w:firstLine="480" w:firstLineChars="200"/>
        <w:rPr>
          <w:rFonts w:hint="eastAsia"/>
          <w:sz w:val="24"/>
          <w:szCs w:val="24"/>
        </w:rPr>
      </w:pPr>
      <w:r>
        <w:rPr>
          <w:rFonts w:hint="eastAsia"/>
          <w:sz w:val="24"/>
          <w:szCs w:val="24"/>
        </w:rPr>
        <w:t>（1）有严重违法违纪行为发生；</w:t>
      </w:r>
    </w:p>
    <w:p>
      <w:pPr>
        <w:adjustRightInd w:val="0"/>
        <w:snapToGrid w:val="0"/>
        <w:spacing w:line="360" w:lineRule="auto"/>
        <w:ind w:firstLine="480" w:firstLineChars="200"/>
        <w:rPr>
          <w:rFonts w:hint="eastAsia"/>
          <w:sz w:val="24"/>
          <w:szCs w:val="24"/>
        </w:rPr>
      </w:pPr>
      <w:r>
        <w:rPr>
          <w:rFonts w:hint="eastAsia"/>
          <w:sz w:val="24"/>
          <w:szCs w:val="24"/>
        </w:rPr>
        <w:t>（2）因管理不善、措施不当造成重大安全事故；</w:t>
      </w:r>
    </w:p>
    <w:p>
      <w:pPr>
        <w:adjustRightInd w:val="0"/>
        <w:snapToGrid w:val="0"/>
        <w:spacing w:line="360" w:lineRule="auto"/>
        <w:ind w:firstLine="480" w:firstLineChars="200"/>
        <w:rPr>
          <w:rFonts w:hint="eastAsia"/>
          <w:sz w:val="24"/>
          <w:szCs w:val="24"/>
        </w:rPr>
      </w:pPr>
      <w:r>
        <w:rPr>
          <w:rFonts w:hint="eastAsia"/>
          <w:sz w:val="24"/>
          <w:szCs w:val="24"/>
        </w:rPr>
        <w:t>（3）宣传邪教、封建迷信以及反科学、伪科学活动；</w:t>
      </w:r>
    </w:p>
    <w:p>
      <w:pPr>
        <w:adjustRightInd w:val="0"/>
        <w:snapToGrid w:val="0"/>
        <w:spacing w:line="360" w:lineRule="auto"/>
        <w:ind w:firstLine="480" w:firstLineChars="200"/>
        <w:rPr>
          <w:rFonts w:hint="eastAsia"/>
          <w:sz w:val="24"/>
          <w:szCs w:val="24"/>
        </w:rPr>
      </w:pPr>
      <w:r>
        <w:rPr>
          <w:rFonts w:hint="eastAsia"/>
          <w:sz w:val="24"/>
          <w:szCs w:val="24"/>
        </w:rPr>
        <w:t>（4）未按</w:t>
      </w:r>
      <w:r>
        <w:rPr>
          <w:rFonts w:hint="eastAsia"/>
          <w:sz w:val="24"/>
          <w:szCs w:val="24"/>
          <w:lang w:val="en-US" w:eastAsia="zh-CN"/>
        </w:rPr>
        <w:t>考核</w:t>
      </w:r>
      <w:r>
        <w:rPr>
          <w:rFonts w:hint="eastAsia"/>
          <w:sz w:val="24"/>
          <w:szCs w:val="24"/>
        </w:rPr>
        <w:t>办法提供真实准确相关材料或提供虚假材料。</w:t>
      </w:r>
    </w:p>
    <w:p>
      <w:pPr>
        <w:adjustRightInd w:val="0"/>
        <w:snapToGrid w:val="0"/>
        <w:spacing w:line="360" w:lineRule="auto"/>
        <w:ind w:firstLine="480" w:firstLineChars="200"/>
        <w:rPr>
          <w:rFonts w:hint="default"/>
          <w:sz w:val="24"/>
          <w:szCs w:val="24"/>
          <w:lang w:val="en-US" w:eastAsia="zh-CN"/>
        </w:rPr>
      </w:pPr>
      <w:r>
        <w:rPr>
          <w:rFonts w:hint="eastAsia"/>
          <w:sz w:val="24"/>
          <w:szCs w:val="24"/>
        </w:rPr>
        <w:t>（</w:t>
      </w:r>
      <w:r>
        <w:rPr>
          <w:rFonts w:hint="eastAsia"/>
          <w:sz w:val="24"/>
          <w:szCs w:val="24"/>
          <w:lang w:val="en-US" w:eastAsia="zh-CN"/>
        </w:rPr>
        <w:t>5</w:t>
      </w:r>
      <w:r>
        <w:rPr>
          <w:rFonts w:hint="eastAsia"/>
          <w:sz w:val="24"/>
          <w:szCs w:val="24"/>
        </w:rPr>
        <w:t>）</w:t>
      </w:r>
      <w:r>
        <w:rPr>
          <w:rFonts w:hint="eastAsia"/>
          <w:sz w:val="24"/>
          <w:szCs w:val="24"/>
          <w:lang w:val="en-US" w:eastAsia="zh-CN"/>
        </w:rPr>
        <w:t>年度</w:t>
      </w:r>
      <w:r>
        <w:rPr>
          <w:rFonts w:hint="eastAsia"/>
          <w:sz w:val="24"/>
          <w:szCs w:val="24"/>
        </w:rPr>
        <w:t>考核</w:t>
      </w:r>
      <w:r>
        <w:rPr>
          <w:rFonts w:hint="eastAsia"/>
          <w:sz w:val="24"/>
          <w:szCs w:val="24"/>
          <w:lang w:val="en-US" w:eastAsia="zh-CN"/>
        </w:rPr>
        <w:t>60</w:t>
      </w:r>
      <w:r>
        <w:rPr>
          <w:rFonts w:hint="eastAsia"/>
          <w:sz w:val="24"/>
          <w:szCs w:val="24"/>
        </w:rPr>
        <w:t>分以</w:t>
      </w:r>
      <w:r>
        <w:rPr>
          <w:rFonts w:hint="eastAsia"/>
          <w:sz w:val="24"/>
          <w:szCs w:val="24"/>
          <w:lang w:val="en-US" w:eastAsia="zh-CN"/>
        </w:rPr>
        <w:t>下</w:t>
      </w:r>
      <w:r>
        <w:rPr>
          <w:rFonts w:hint="eastAsia"/>
          <w:sz w:val="24"/>
          <w:szCs w:val="24"/>
        </w:rPr>
        <w:t>。</w:t>
      </w:r>
    </w:p>
    <w:tbl>
      <w:tblPr>
        <w:tblStyle w:val="20"/>
        <w:tblW w:w="5194" w:type="pct"/>
        <w:tblInd w:w="-26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78"/>
        <w:gridCol w:w="1829"/>
        <w:gridCol w:w="564"/>
        <w:gridCol w:w="65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唐山市科技工作者创新创业基地</w:t>
            </w:r>
            <w:r>
              <w:rPr>
                <w:rFonts w:asciiTheme="minorEastAsia" w:hAnsiTheme="minorEastAsia" w:eastAsiaTheme="minorEastAsia"/>
                <w:color w:val="auto"/>
                <w:sz w:val="24"/>
                <w:szCs w:val="24"/>
              </w:rPr>
              <w:t>考核指标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分类</w:t>
            </w:r>
          </w:p>
        </w:tc>
        <w:tc>
          <w:tcPr>
            <w:tcW w:w="922"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考核</w:t>
            </w:r>
            <w:r>
              <w:rPr>
                <w:rFonts w:asciiTheme="minorEastAsia" w:hAnsiTheme="minorEastAsia" w:eastAsiaTheme="minorEastAsia"/>
                <w:color w:val="auto"/>
                <w:sz w:val="24"/>
                <w:szCs w:val="24"/>
              </w:rPr>
              <w:t>内容</w:t>
            </w:r>
          </w:p>
        </w:tc>
        <w:tc>
          <w:tcPr>
            <w:tcW w:w="284"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分值</w:t>
            </w:r>
          </w:p>
        </w:tc>
        <w:tc>
          <w:tcPr>
            <w:tcW w:w="3299"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考 核</w:t>
            </w:r>
            <w:r>
              <w:rPr>
                <w:rFonts w:asciiTheme="minorEastAsia" w:hAnsiTheme="minorEastAsia" w:eastAsiaTheme="minorEastAsia"/>
                <w:color w:val="auto"/>
                <w:sz w:val="24"/>
                <w:szCs w:val="24"/>
              </w:rPr>
              <w:t xml:space="preserve"> 标 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vMerge w:val="restar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基础服务能力（1</w:t>
            </w:r>
            <w:r>
              <w:rPr>
                <w:rFonts w:hint="eastAsia" w:asciiTheme="minorEastAsia" w:hAnsiTheme="minorEastAsia" w:eastAsiaTheme="minorEastAsia"/>
                <w:color w:val="auto"/>
                <w:sz w:val="24"/>
                <w:szCs w:val="24"/>
                <w:lang w:val="en-US" w:eastAsia="zh-CN"/>
              </w:rPr>
              <w:t>5</w:t>
            </w:r>
            <w:r>
              <w:rPr>
                <w:rFonts w:asciiTheme="minorEastAsia" w:hAnsiTheme="minorEastAsia" w:eastAsiaTheme="minorEastAsia"/>
                <w:color w:val="auto"/>
                <w:sz w:val="24"/>
                <w:szCs w:val="24"/>
              </w:rPr>
              <w:t>分）</w:t>
            </w:r>
          </w:p>
        </w:tc>
        <w:tc>
          <w:tcPr>
            <w:tcW w:w="922"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color w:val="auto"/>
                <w:sz w:val="24"/>
                <w:szCs w:val="24"/>
              </w:rPr>
              <w:t>运营管理团队</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w:t>
            </w:r>
          </w:p>
        </w:tc>
        <w:tc>
          <w:tcPr>
            <w:tcW w:w="3299"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①机构设置合理且管理人员中具有本科以上学历的占50%以上（</w:t>
            </w: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分）；②接受孵化器专业培训的人员比例达30%以上（</w:t>
            </w: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3" w:hRule="atLeast"/>
        </w:trPr>
        <w:tc>
          <w:tcPr>
            <w:tcW w:w="493"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2"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color w:val="auto"/>
                <w:sz w:val="24"/>
                <w:szCs w:val="24"/>
              </w:rPr>
              <w:t>创业</w:t>
            </w:r>
            <w:r>
              <w:rPr>
                <w:color w:val="auto"/>
                <w:sz w:val="24"/>
                <w:szCs w:val="24"/>
              </w:rPr>
              <w:t>场地建设</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7</w:t>
            </w:r>
          </w:p>
        </w:tc>
        <w:tc>
          <w:tcPr>
            <w:tcW w:w="3299" w:type="pct"/>
            <w:tcBorders>
              <w:top w:val="outset" w:color="auto" w:sz="6" w:space="0"/>
              <w:left w:val="outset" w:color="auto" w:sz="6" w:space="0"/>
              <w:bottom w:val="outset" w:color="auto" w:sz="6" w:space="0"/>
              <w:right w:val="outset" w:color="auto" w:sz="6" w:space="0"/>
            </w:tcBorders>
            <w:vAlign w:val="center"/>
          </w:tcPr>
          <w:p>
            <w:pPr>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t>①建有展厅得</w:t>
            </w:r>
            <w:r>
              <w:rPr>
                <w:rFonts w:hint="eastAsia" w:asciiTheme="minorEastAsia" w:hAnsiTheme="minorEastAsia" w:eastAsiaTheme="minorEastAsia"/>
                <w:color w:val="auto"/>
                <w:sz w:val="24"/>
                <w:szCs w:val="24"/>
                <w:lang w:val="en-US" w:eastAsia="zh-CN"/>
              </w:rPr>
              <w:t>3</w:t>
            </w:r>
            <w:r>
              <w:rPr>
                <w:rFonts w:asciiTheme="minorEastAsia" w:hAnsiTheme="minorEastAsia" w:eastAsiaTheme="minorEastAsia"/>
                <w:color w:val="auto"/>
                <w:sz w:val="24"/>
                <w:szCs w:val="24"/>
              </w:rPr>
              <w:t>分；②建有项目路演大厅得</w:t>
            </w:r>
            <w:r>
              <w:rPr>
                <w:rFonts w:hint="eastAsia" w:asciiTheme="minorEastAsia" w:hAnsiTheme="minorEastAsia" w:eastAsiaTheme="minorEastAsia"/>
                <w:color w:val="auto"/>
                <w:sz w:val="24"/>
                <w:szCs w:val="24"/>
                <w:lang w:val="en-US" w:eastAsia="zh-CN"/>
              </w:rPr>
              <w:t>4</w:t>
            </w:r>
            <w:r>
              <w:rPr>
                <w:rFonts w:asciiTheme="minorEastAsia" w:hAnsiTheme="minorEastAsia" w:eastAsiaTheme="minorEastAsia"/>
                <w:color w:val="auto"/>
                <w:sz w:val="24"/>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vMerge w:val="restar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创业</w:t>
            </w:r>
            <w:r>
              <w:rPr>
                <w:rFonts w:asciiTheme="minorEastAsia" w:hAnsiTheme="minorEastAsia" w:eastAsiaTheme="minorEastAsia"/>
                <w:color w:val="auto"/>
                <w:sz w:val="24"/>
                <w:szCs w:val="24"/>
              </w:rPr>
              <w:t>服务能力（</w:t>
            </w:r>
            <w:r>
              <w:rPr>
                <w:rFonts w:hint="eastAsia" w:asciiTheme="minorEastAsia" w:hAnsiTheme="minorEastAsia" w:eastAsiaTheme="minorEastAsia"/>
                <w:color w:val="auto"/>
                <w:sz w:val="24"/>
                <w:szCs w:val="24"/>
                <w:lang w:val="en-US" w:eastAsia="zh-CN"/>
              </w:rPr>
              <w:t>30</w:t>
            </w:r>
            <w:r>
              <w:rPr>
                <w:rFonts w:asciiTheme="minorEastAsia" w:hAnsiTheme="minorEastAsia" w:eastAsiaTheme="minorEastAsia"/>
                <w:color w:val="auto"/>
                <w:sz w:val="24"/>
                <w:szCs w:val="24"/>
              </w:rPr>
              <w:t>分）</w:t>
            </w:r>
          </w:p>
        </w:tc>
        <w:tc>
          <w:tcPr>
            <w:tcW w:w="922"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3、</w:t>
            </w:r>
            <w:r>
              <w:rPr>
                <w:rFonts w:asciiTheme="minorEastAsia" w:hAnsiTheme="minorEastAsia" w:eastAsiaTheme="minorEastAsia"/>
                <w:color w:val="auto"/>
                <w:sz w:val="24"/>
                <w:szCs w:val="24"/>
              </w:rPr>
              <w:t>创新创业活动</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lang w:val="en-US" w:eastAsia="zh-CN"/>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0</w:t>
            </w:r>
          </w:p>
        </w:tc>
        <w:tc>
          <w:tcPr>
            <w:tcW w:w="3299"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①每举办1场“</w:t>
            </w:r>
            <w:r>
              <w:rPr>
                <w:rFonts w:hint="eastAsia" w:asciiTheme="minorEastAsia" w:hAnsiTheme="minorEastAsia" w:eastAsiaTheme="minorEastAsia"/>
                <w:color w:val="auto"/>
                <w:sz w:val="24"/>
                <w:szCs w:val="24"/>
              </w:rPr>
              <w:t>创业之星</w:t>
            </w:r>
            <w:r>
              <w:rPr>
                <w:rFonts w:asciiTheme="minorEastAsia" w:hAnsiTheme="minorEastAsia" w:eastAsiaTheme="minorEastAsia"/>
                <w:color w:val="auto"/>
                <w:sz w:val="24"/>
                <w:szCs w:val="24"/>
              </w:rPr>
              <w:t>”系列活动得2分，最高得4分；</w:t>
            </w:r>
          </w:p>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②每举办1场双创活动得</w:t>
            </w: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分，最高得</w:t>
            </w:r>
            <w:r>
              <w:rPr>
                <w:rFonts w:hint="eastAsia" w:asciiTheme="minorEastAsia" w:hAnsiTheme="minorEastAsia" w:eastAsiaTheme="minorEastAsia"/>
                <w:color w:val="auto"/>
                <w:sz w:val="24"/>
                <w:szCs w:val="24"/>
              </w:rPr>
              <w:t>6</w:t>
            </w:r>
            <w:r>
              <w:rPr>
                <w:rFonts w:asciiTheme="minorEastAsia" w:hAnsiTheme="minorEastAsia" w:eastAsiaTheme="minorEastAsia"/>
                <w:color w:val="auto"/>
                <w:sz w:val="24"/>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2"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4</w:t>
            </w:r>
            <w:r>
              <w:rPr>
                <w:rFonts w:asciiTheme="minorEastAsia" w:hAnsiTheme="minorEastAsia" w:eastAsiaTheme="minorEastAsia"/>
                <w:color w:val="auto"/>
                <w:sz w:val="24"/>
                <w:szCs w:val="24"/>
              </w:rPr>
              <w:t>、创业导师</w:t>
            </w:r>
          </w:p>
        </w:tc>
        <w:tc>
          <w:tcPr>
            <w:tcW w:w="284" w:type="pct"/>
            <w:tcBorders>
              <w:top w:val="outset" w:color="auto" w:sz="6" w:space="0"/>
              <w:left w:val="outset" w:color="auto" w:sz="6" w:space="0"/>
              <w:bottom w:val="outset" w:color="auto" w:sz="6" w:space="0"/>
              <w:right w:val="outset" w:color="auto" w:sz="6" w:space="0"/>
            </w:tcBorders>
            <w:noWrap/>
            <w:vAlign w:val="center"/>
          </w:tcPr>
          <w:p>
            <w:pPr>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10</w:t>
            </w:r>
          </w:p>
        </w:tc>
        <w:tc>
          <w:tcPr>
            <w:tcW w:w="3299"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①聘请创业导师≥10名导师得5分，＜10名导师得0-4分；</w:t>
            </w:r>
          </w:p>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②导师服务单一企业案例（1对1或多对1专项辅导），每个企业案例得1分，最高</w:t>
            </w:r>
            <w:r>
              <w:rPr>
                <w:rFonts w:hint="eastAsia" w:asciiTheme="minorEastAsia" w:hAnsiTheme="minorEastAsia" w:eastAsiaTheme="minorEastAsia"/>
                <w:color w:val="auto"/>
                <w:sz w:val="24"/>
                <w:szCs w:val="24"/>
              </w:rPr>
              <w:t>得</w:t>
            </w:r>
            <w:r>
              <w:rPr>
                <w:rFonts w:asciiTheme="minorEastAsia" w:hAnsiTheme="minorEastAsia" w:eastAsiaTheme="minorEastAsia"/>
                <w:color w:val="auto"/>
                <w:sz w:val="24"/>
                <w:szCs w:val="24"/>
              </w:rPr>
              <w:t>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2" w:type="pct"/>
            <w:tcBorders>
              <w:top w:val="outset" w:color="auto" w:sz="6" w:space="0"/>
              <w:left w:val="outset" w:color="auto" w:sz="6" w:space="0"/>
              <w:bottom w:val="outset" w:color="auto" w:sz="6" w:space="0"/>
              <w:right w:val="outset" w:color="auto" w:sz="6" w:space="0"/>
            </w:tcBorders>
            <w:vAlign w:val="center"/>
          </w:tcPr>
          <w:p>
            <w:pP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5、培训工作</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5</w:t>
            </w:r>
          </w:p>
        </w:tc>
        <w:tc>
          <w:tcPr>
            <w:tcW w:w="3299"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员工年度教育培训不少于40学时，并有培训工作计划、培训内容、参训人员名单。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2"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6</w:t>
            </w:r>
            <w:r>
              <w:rPr>
                <w:rFonts w:asciiTheme="minorEastAsia" w:hAnsiTheme="minorEastAsia" w:eastAsiaTheme="minorEastAsia"/>
                <w:color w:val="auto"/>
                <w:sz w:val="24"/>
                <w:szCs w:val="24"/>
              </w:rPr>
              <w:t>、媒体宣传</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p>
        </w:tc>
        <w:tc>
          <w:tcPr>
            <w:tcW w:w="3299"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积极宣传</w:t>
            </w:r>
            <w:r>
              <w:rPr>
                <w:rFonts w:hint="eastAsia" w:asciiTheme="minorEastAsia" w:hAnsiTheme="minorEastAsia" w:eastAsiaTheme="minorEastAsia"/>
                <w:color w:val="auto"/>
                <w:sz w:val="24"/>
                <w:szCs w:val="24"/>
              </w:rPr>
              <w:t>创业基地</w:t>
            </w:r>
            <w:r>
              <w:rPr>
                <w:rFonts w:asciiTheme="minorEastAsia" w:hAnsiTheme="minorEastAsia" w:eastAsiaTheme="minorEastAsia"/>
                <w:color w:val="auto"/>
                <w:sz w:val="24"/>
                <w:szCs w:val="24"/>
              </w:rPr>
              <w:t>及</w:t>
            </w:r>
            <w:r>
              <w:rPr>
                <w:rFonts w:hint="eastAsia" w:asciiTheme="minorEastAsia" w:hAnsiTheme="minorEastAsia" w:eastAsiaTheme="minorEastAsia"/>
                <w:color w:val="auto"/>
                <w:sz w:val="24"/>
                <w:szCs w:val="24"/>
              </w:rPr>
              <w:t>创业</w:t>
            </w:r>
            <w:r>
              <w:rPr>
                <w:rFonts w:asciiTheme="minorEastAsia" w:hAnsiTheme="minorEastAsia" w:eastAsiaTheme="minorEastAsia"/>
                <w:color w:val="auto"/>
                <w:sz w:val="24"/>
                <w:szCs w:val="24"/>
              </w:rPr>
              <w:t>企业自身建设、科技成果、创业活动等相关信息，</w:t>
            </w:r>
            <w:r>
              <w:rPr>
                <w:rFonts w:hint="eastAsia" w:asciiTheme="minorEastAsia" w:hAnsiTheme="minorEastAsia" w:eastAsiaTheme="minorEastAsia"/>
                <w:color w:val="auto"/>
                <w:sz w:val="24"/>
                <w:szCs w:val="24"/>
              </w:rPr>
              <w:t>以各大网站及</w:t>
            </w:r>
            <w:r>
              <w:rPr>
                <w:rFonts w:asciiTheme="minorEastAsia" w:hAnsiTheme="minorEastAsia" w:eastAsiaTheme="minorEastAsia"/>
                <w:color w:val="auto"/>
                <w:sz w:val="24"/>
                <w:szCs w:val="24"/>
              </w:rPr>
              <w:t>公众号上的宣传稿为依据，每篇加1分，</w:t>
            </w:r>
            <w:r>
              <w:rPr>
                <w:rFonts w:hint="eastAsia" w:asciiTheme="minorEastAsia" w:hAnsiTheme="minorEastAsia" w:eastAsiaTheme="minorEastAsia"/>
                <w:color w:val="auto"/>
                <w:sz w:val="24"/>
                <w:szCs w:val="24"/>
              </w:rPr>
              <w:t>最高得5</w:t>
            </w:r>
            <w:r>
              <w:rPr>
                <w:rFonts w:asciiTheme="minorEastAsia" w:hAnsiTheme="minorEastAsia" w:eastAsiaTheme="minorEastAsia"/>
                <w:color w:val="auto"/>
                <w:sz w:val="24"/>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vMerge w:val="restar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创业</w:t>
            </w:r>
            <w:r>
              <w:rPr>
                <w:rFonts w:asciiTheme="minorEastAsia" w:hAnsiTheme="minorEastAsia" w:eastAsiaTheme="minorEastAsia"/>
                <w:color w:val="auto"/>
                <w:sz w:val="24"/>
                <w:szCs w:val="24"/>
              </w:rPr>
              <w:t>服务成效（</w:t>
            </w:r>
            <w:r>
              <w:rPr>
                <w:rFonts w:hint="eastAsia" w:asciiTheme="minorEastAsia" w:hAnsiTheme="minorEastAsia" w:eastAsiaTheme="minorEastAsia"/>
                <w:color w:val="auto"/>
                <w:sz w:val="24"/>
                <w:szCs w:val="24"/>
              </w:rPr>
              <w:t>30</w:t>
            </w:r>
            <w:r>
              <w:rPr>
                <w:rFonts w:asciiTheme="minorEastAsia" w:hAnsiTheme="minorEastAsia" w:eastAsiaTheme="minorEastAsia"/>
                <w:color w:val="auto"/>
                <w:sz w:val="24"/>
                <w:szCs w:val="24"/>
              </w:rPr>
              <w:t>分）</w:t>
            </w:r>
          </w:p>
        </w:tc>
        <w:tc>
          <w:tcPr>
            <w:tcW w:w="922"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7</w:t>
            </w:r>
            <w:r>
              <w:rPr>
                <w:rFonts w:asciiTheme="minorEastAsia" w:hAnsiTheme="minorEastAsia" w:eastAsiaTheme="minorEastAsia"/>
                <w:color w:val="auto"/>
                <w:sz w:val="24"/>
                <w:szCs w:val="24"/>
              </w:rPr>
              <w:t>、年度在孵企业数</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lang w:val="en-US" w:eastAsia="zh-CN"/>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5</w:t>
            </w:r>
          </w:p>
        </w:tc>
        <w:tc>
          <w:tcPr>
            <w:tcW w:w="3299"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年度在孵创业企业10</w:t>
            </w:r>
            <w:r>
              <w:rPr>
                <w:rFonts w:asciiTheme="minorEastAsia" w:hAnsiTheme="minorEastAsia" w:eastAsiaTheme="minorEastAsia"/>
                <w:color w:val="auto"/>
                <w:sz w:val="24"/>
                <w:szCs w:val="24"/>
              </w:rPr>
              <w:t>家：</w:t>
            </w:r>
            <w:r>
              <w:rPr>
                <w:rFonts w:hint="eastAsia" w:asciiTheme="minorEastAsia" w:hAnsiTheme="minorEastAsia" w:eastAsiaTheme="minorEastAsia"/>
                <w:color w:val="auto"/>
                <w:sz w:val="24"/>
                <w:szCs w:val="24"/>
              </w:rPr>
              <w:t>10</w:t>
            </w:r>
            <w:r>
              <w:rPr>
                <w:rFonts w:asciiTheme="minorEastAsia" w:hAnsiTheme="minorEastAsia" w:eastAsiaTheme="minorEastAsia"/>
                <w:color w:val="auto"/>
                <w:sz w:val="24"/>
                <w:szCs w:val="24"/>
              </w:rPr>
              <w:t>分；；</w:t>
            </w:r>
            <w:r>
              <w:rPr>
                <w:rFonts w:hint="eastAsia" w:asciiTheme="minorEastAsia" w:hAnsiTheme="minorEastAsia" w:eastAsiaTheme="minorEastAsia"/>
                <w:color w:val="auto"/>
                <w:sz w:val="24"/>
                <w:szCs w:val="24"/>
              </w:rPr>
              <w:t>10家以上：每增加1家，</w:t>
            </w:r>
            <w:r>
              <w:rPr>
                <w:rFonts w:asciiTheme="minorEastAsia" w:hAnsiTheme="minorEastAsia" w:eastAsiaTheme="minorEastAsia"/>
                <w:color w:val="auto"/>
                <w:sz w:val="24"/>
                <w:szCs w:val="24"/>
              </w:rPr>
              <w:t>该项评估增加</w:t>
            </w:r>
            <w:r>
              <w:rPr>
                <w:rFonts w:hint="eastAsia" w:asciiTheme="minorEastAsia" w:hAnsiTheme="minorEastAsia" w:eastAsiaTheme="minorEastAsia"/>
                <w:color w:val="auto"/>
                <w:sz w:val="24"/>
                <w:szCs w:val="24"/>
                <w:lang w:val="en-US" w:eastAsia="zh-CN"/>
              </w:rPr>
              <w:t>1</w:t>
            </w:r>
            <w:r>
              <w:rPr>
                <w:rFonts w:asciiTheme="minorEastAsia" w:hAnsiTheme="minorEastAsia" w:eastAsiaTheme="minorEastAsia"/>
                <w:color w:val="auto"/>
                <w:sz w:val="24"/>
                <w:szCs w:val="24"/>
              </w:rPr>
              <w:t>分，直至增加</w:t>
            </w:r>
            <w:r>
              <w:rPr>
                <w:rFonts w:hint="eastAsia" w:asciiTheme="minorEastAsia" w:hAnsiTheme="minorEastAsia" w:eastAsiaTheme="minorEastAsia"/>
                <w:color w:val="auto"/>
                <w:sz w:val="24"/>
                <w:szCs w:val="24"/>
                <w:lang w:val="en-US" w:eastAsia="zh-CN"/>
              </w:rPr>
              <w:t>5</w:t>
            </w:r>
            <w:r>
              <w:rPr>
                <w:rFonts w:asciiTheme="minorEastAsia" w:hAnsiTheme="minorEastAsia" w:eastAsiaTheme="minorEastAsia"/>
                <w:color w:val="auto"/>
                <w:sz w:val="24"/>
                <w:szCs w:val="24"/>
              </w:rPr>
              <w:t>分为止</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2"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8</w:t>
            </w:r>
            <w:r>
              <w:rPr>
                <w:rFonts w:asciiTheme="minorEastAsia" w:hAnsiTheme="minorEastAsia" w:eastAsiaTheme="minorEastAsia"/>
                <w:color w:val="auto"/>
                <w:sz w:val="24"/>
                <w:szCs w:val="24"/>
              </w:rPr>
              <w:t>、年度获得国家高新技术企业数</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p>
        </w:tc>
        <w:tc>
          <w:tcPr>
            <w:tcW w:w="3299"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①年度获得国家高新技术企业数1家：3分；1家以上：每增加1家，该项评估增加</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分，直至增加</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分为止；年度未获得国家高新技术企业，该项评估不得分。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2"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9</w:t>
            </w:r>
            <w:r>
              <w:rPr>
                <w:rFonts w:asciiTheme="minorEastAsia" w:hAnsiTheme="minorEastAsia" w:eastAsiaTheme="minorEastAsia"/>
                <w:color w:val="auto"/>
                <w:sz w:val="24"/>
                <w:szCs w:val="24"/>
              </w:rPr>
              <w:t>、在孵企业参加当年中国创新创业大赛或路演活动情况</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5</w:t>
            </w:r>
          </w:p>
        </w:tc>
        <w:tc>
          <w:tcPr>
            <w:tcW w:w="3299"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在孵企业参加中国创新创业大赛（通过初审活动正式比赛资格的）或路演活动的，每</w:t>
            </w:r>
            <w:r>
              <w:rPr>
                <w:rFonts w:hint="eastAsia" w:asciiTheme="minorEastAsia" w:hAnsiTheme="minorEastAsia" w:eastAsiaTheme="minorEastAsia"/>
                <w:color w:val="auto"/>
                <w:sz w:val="24"/>
                <w:szCs w:val="24"/>
                <w:lang w:val="en-US" w:eastAsia="zh-CN"/>
              </w:rPr>
              <w:t>参</w:t>
            </w:r>
            <w:r>
              <w:rPr>
                <w:rFonts w:asciiTheme="minorEastAsia" w:hAnsiTheme="minorEastAsia" w:eastAsiaTheme="minorEastAsia"/>
                <w:color w:val="auto"/>
                <w:sz w:val="24"/>
                <w:szCs w:val="24"/>
              </w:rPr>
              <w:t>加1家得1分，最高</w:t>
            </w:r>
            <w:r>
              <w:rPr>
                <w:rFonts w:hint="eastAsia" w:asciiTheme="minorEastAsia" w:hAnsiTheme="minorEastAsia" w:eastAsiaTheme="minorEastAsia"/>
                <w:color w:val="auto"/>
                <w:sz w:val="24"/>
                <w:szCs w:val="24"/>
                <w:lang w:val="en-US" w:eastAsia="zh-CN"/>
              </w:rPr>
              <w:t>5</w:t>
            </w:r>
            <w:r>
              <w:rPr>
                <w:rFonts w:asciiTheme="minorEastAsia" w:hAnsiTheme="minorEastAsia" w:eastAsiaTheme="minorEastAsia"/>
                <w:color w:val="auto"/>
                <w:sz w:val="24"/>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2"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10</w:t>
            </w:r>
            <w:r>
              <w:rPr>
                <w:rFonts w:asciiTheme="minorEastAsia" w:hAnsiTheme="minorEastAsia" w:eastAsiaTheme="minorEastAsia"/>
                <w:color w:val="auto"/>
                <w:sz w:val="24"/>
                <w:szCs w:val="24"/>
              </w:rPr>
              <w:t>、在孵企业技术合同登记情况</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5</w:t>
            </w:r>
          </w:p>
        </w:tc>
        <w:tc>
          <w:tcPr>
            <w:tcW w:w="3299"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在孵企业当年技术合同登记总额不低于1000万元得2分，不低于500万元得1分，低于500万元不得分</w:t>
            </w:r>
            <w:r>
              <w:rPr>
                <w:rFonts w:hint="eastAsia" w:asciiTheme="minorEastAsia" w:hAnsiTheme="minorEastAsia" w:eastAsiaTheme="minorEastAsia"/>
                <w:color w:val="auto"/>
                <w:sz w:val="24"/>
                <w:szCs w:val="24"/>
              </w:rPr>
              <w:t>，最高得</w:t>
            </w: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分</w:t>
            </w:r>
            <w:r>
              <w:rPr>
                <w:rFonts w:asciiTheme="minorEastAsia" w:hAnsiTheme="minorEastAsia" w:eastAsiaTheme="minorEastAsia"/>
                <w:color w:val="auto"/>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vMerge w:val="restart"/>
            <w:tcBorders>
              <w:top w:val="outset" w:color="auto" w:sz="6" w:space="0"/>
              <w:left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公共服务成效（</w:t>
            </w:r>
            <w:r>
              <w:rPr>
                <w:rFonts w:hint="eastAsia" w:asciiTheme="minorEastAsia" w:hAnsiTheme="minorEastAsia" w:eastAsiaTheme="minorEastAsia"/>
                <w:color w:val="auto"/>
                <w:sz w:val="24"/>
                <w:szCs w:val="24"/>
                <w:lang w:val="en-US" w:eastAsia="zh-CN"/>
              </w:rPr>
              <w:t>25</w:t>
            </w:r>
            <w:r>
              <w:rPr>
                <w:rFonts w:asciiTheme="minorEastAsia" w:hAnsiTheme="minorEastAsia" w:eastAsiaTheme="minorEastAsia"/>
                <w:color w:val="auto"/>
                <w:sz w:val="24"/>
                <w:szCs w:val="24"/>
              </w:rPr>
              <w:t>分）</w:t>
            </w:r>
          </w:p>
        </w:tc>
        <w:tc>
          <w:tcPr>
            <w:tcW w:w="922"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1</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安全办公</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10</w:t>
            </w:r>
          </w:p>
        </w:tc>
        <w:tc>
          <w:tcPr>
            <w:tcW w:w="3299"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①孵化器及在孵企业安全</w:t>
            </w:r>
            <w:r>
              <w:rPr>
                <w:rFonts w:hint="eastAsia" w:asciiTheme="minorEastAsia" w:hAnsiTheme="minorEastAsia" w:eastAsiaTheme="minorEastAsia"/>
                <w:color w:val="auto"/>
                <w:sz w:val="24"/>
                <w:szCs w:val="24"/>
                <w:lang w:val="en-US" w:eastAsia="zh-CN"/>
              </w:rPr>
              <w:t>办公</w:t>
            </w:r>
            <w:r>
              <w:rPr>
                <w:rFonts w:asciiTheme="minorEastAsia" w:hAnsiTheme="minorEastAsia" w:eastAsiaTheme="minorEastAsia"/>
                <w:color w:val="auto"/>
                <w:sz w:val="24"/>
                <w:szCs w:val="24"/>
              </w:rPr>
              <w:t>，全年无安全</w:t>
            </w:r>
            <w:r>
              <w:rPr>
                <w:rFonts w:hint="eastAsia" w:asciiTheme="minorEastAsia" w:hAnsiTheme="minorEastAsia" w:eastAsiaTheme="minorEastAsia"/>
                <w:color w:val="auto"/>
                <w:sz w:val="24"/>
                <w:szCs w:val="24"/>
                <w:lang w:val="en-US" w:eastAsia="zh-CN"/>
              </w:rPr>
              <w:t>办公</w:t>
            </w:r>
            <w:r>
              <w:rPr>
                <w:rFonts w:asciiTheme="minorEastAsia" w:hAnsiTheme="minorEastAsia" w:eastAsiaTheme="minorEastAsia"/>
                <w:color w:val="auto"/>
                <w:sz w:val="24"/>
                <w:szCs w:val="24"/>
              </w:rPr>
              <w:t>事故（</w:t>
            </w:r>
            <w:r>
              <w:rPr>
                <w:rFonts w:hint="eastAsia" w:asciiTheme="minorEastAsia" w:hAnsiTheme="minorEastAsia" w:eastAsiaTheme="minorEastAsia"/>
                <w:color w:val="auto"/>
                <w:sz w:val="24"/>
                <w:szCs w:val="24"/>
                <w:lang w:val="en-US" w:eastAsia="zh-CN"/>
              </w:rPr>
              <w:t>5</w:t>
            </w:r>
            <w:r>
              <w:rPr>
                <w:rFonts w:asciiTheme="minorEastAsia" w:hAnsiTheme="minorEastAsia" w:eastAsiaTheme="minorEastAsia"/>
                <w:color w:val="auto"/>
                <w:sz w:val="24"/>
                <w:szCs w:val="24"/>
              </w:rPr>
              <w:t>分）；②按时领取安全</w:t>
            </w:r>
            <w:r>
              <w:rPr>
                <w:rFonts w:hint="eastAsia" w:asciiTheme="minorEastAsia" w:hAnsiTheme="minorEastAsia" w:eastAsiaTheme="minorEastAsia"/>
                <w:color w:val="auto"/>
                <w:sz w:val="24"/>
                <w:szCs w:val="24"/>
                <w:lang w:val="en-US" w:eastAsia="zh-CN"/>
              </w:rPr>
              <w:t>办公</w:t>
            </w:r>
            <w:r>
              <w:rPr>
                <w:rFonts w:asciiTheme="minorEastAsia" w:hAnsiTheme="minorEastAsia" w:eastAsiaTheme="minorEastAsia"/>
                <w:color w:val="auto"/>
                <w:sz w:val="24"/>
                <w:szCs w:val="24"/>
              </w:rPr>
              <w:t>文件，上报安全</w:t>
            </w:r>
            <w:r>
              <w:rPr>
                <w:rFonts w:hint="eastAsia" w:asciiTheme="minorEastAsia" w:hAnsiTheme="minorEastAsia" w:eastAsiaTheme="minorEastAsia"/>
                <w:color w:val="auto"/>
                <w:sz w:val="24"/>
                <w:szCs w:val="24"/>
                <w:lang w:val="en-US" w:eastAsia="zh-CN"/>
              </w:rPr>
              <w:t>工作</w:t>
            </w:r>
            <w:r>
              <w:rPr>
                <w:rFonts w:asciiTheme="minorEastAsia" w:hAnsiTheme="minorEastAsia" w:eastAsiaTheme="minorEastAsia"/>
                <w:color w:val="auto"/>
                <w:sz w:val="24"/>
                <w:szCs w:val="24"/>
              </w:rPr>
              <w:t>总结，积极开展安全检查、培训、宣传活动（</w:t>
            </w:r>
            <w:r>
              <w:rPr>
                <w:rFonts w:hint="eastAsia" w:asciiTheme="minorEastAsia" w:hAnsiTheme="minorEastAsia" w:eastAsiaTheme="minorEastAsia"/>
                <w:color w:val="auto"/>
                <w:sz w:val="24"/>
                <w:szCs w:val="24"/>
                <w:lang w:val="en-US" w:eastAsia="zh-CN"/>
              </w:rPr>
              <w:t>5</w:t>
            </w:r>
            <w:r>
              <w:rPr>
                <w:rFonts w:asciiTheme="minorEastAsia" w:hAnsiTheme="minorEastAsia" w:eastAsiaTheme="minorEastAsia"/>
                <w:color w:val="auto"/>
                <w:sz w:val="24"/>
                <w:szCs w:val="24"/>
              </w:rPr>
              <w:t>分）；</w:t>
            </w:r>
          </w:p>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③发生重大安全生产事故的，实行一票否决。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vMerge w:val="continue"/>
            <w:tcBorders>
              <w:left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2"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2</w:t>
            </w:r>
            <w:r>
              <w:rPr>
                <w:rFonts w:asciiTheme="minorEastAsia" w:hAnsiTheme="minorEastAsia" w:eastAsiaTheme="minorEastAsia"/>
                <w:color w:val="auto"/>
                <w:sz w:val="24"/>
                <w:szCs w:val="24"/>
              </w:rPr>
              <w:t>、配合</w:t>
            </w:r>
            <w:r>
              <w:rPr>
                <w:rFonts w:hint="eastAsia" w:asciiTheme="minorEastAsia" w:hAnsiTheme="minorEastAsia" w:eastAsiaTheme="minorEastAsia"/>
                <w:color w:val="auto"/>
                <w:sz w:val="24"/>
                <w:szCs w:val="24"/>
              </w:rPr>
              <w:t>相关</w:t>
            </w:r>
            <w:r>
              <w:rPr>
                <w:rFonts w:asciiTheme="minorEastAsia" w:hAnsiTheme="minorEastAsia" w:eastAsiaTheme="minorEastAsia"/>
                <w:color w:val="auto"/>
                <w:sz w:val="24"/>
                <w:szCs w:val="24"/>
              </w:rPr>
              <w:t>部门推进双创各项工作的情况</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5</w:t>
            </w:r>
          </w:p>
        </w:tc>
        <w:tc>
          <w:tcPr>
            <w:tcW w:w="3299" w:type="pct"/>
            <w:tcBorders>
              <w:top w:val="outset" w:color="auto" w:sz="6" w:space="0"/>
              <w:left w:val="outset" w:color="auto" w:sz="6" w:space="0"/>
              <w:bottom w:val="outset" w:color="auto" w:sz="6" w:space="0"/>
              <w:right w:val="outset" w:color="auto" w:sz="6" w:space="0"/>
            </w:tcBorders>
            <w:vAlign w:val="center"/>
          </w:tcPr>
          <w:p>
            <w:pP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配合相关部门</w:t>
            </w:r>
            <w:r>
              <w:rPr>
                <w:rFonts w:asciiTheme="minorEastAsia" w:hAnsiTheme="minorEastAsia" w:eastAsiaTheme="minorEastAsia"/>
                <w:color w:val="auto"/>
                <w:sz w:val="24"/>
                <w:szCs w:val="24"/>
              </w:rPr>
              <w:t>推进</w:t>
            </w:r>
            <w:r>
              <w:rPr>
                <w:rFonts w:hint="eastAsia" w:asciiTheme="minorEastAsia" w:hAnsiTheme="minorEastAsia" w:eastAsiaTheme="minorEastAsia"/>
                <w:color w:val="auto"/>
                <w:sz w:val="24"/>
                <w:szCs w:val="24"/>
                <w:lang w:val="en-US" w:eastAsia="zh-CN"/>
              </w:rPr>
              <w:t>双创基地</w:t>
            </w:r>
            <w:r>
              <w:rPr>
                <w:rFonts w:asciiTheme="minorEastAsia" w:hAnsiTheme="minorEastAsia" w:eastAsiaTheme="minorEastAsia"/>
                <w:color w:val="auto"/>
                <w:sz w:val="24"/>
                <w:szCs w:val="24"/>
              </w:rPr>
              <w:t>各项工作，</w:t>
            </w:r>
            <w:r>
              <w:rPr>
                <w:rFonts w:hint="eastAsia" w:asciiTheme="minorEastAsia" w:hAnsiTheme="minorEastAsia" w:eastAsiaTheme="minorEastAsia"/>
                <w:color w:val="auto"/>
                <w:sz w:val="24"/>
                <w:szCs w:val="24"/>
                <w:lang w:val="en-US" w:eastAsia="zh-CN"/>
              </w:rPr>
              <w:t>提交统计数据真实、齐全得5分。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vMerge w:val="continue"/>
            <w:tcBorders>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2"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rPr>
              <w:t>、省市级基地</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w:t>
            </w:r>
          </w:p>
        </w:tc>
        <w:tc>
          <w:tcPr>
            <w:tcW w:w="3299" w:type="pct"/>
            <w:tcBorders>
              <w:top w:val="outset" w:color="auto" w:sz="6" w:space="0"/>
              <w:left w:val="outset" w:color="auto" w:sz="6" w:space="0"/>
              <w:bottom w:val="outset" w:color="auto" w:sz="6" w:space="0"/>
              <w:right w:val="outset" w:color="auto" w:sz="6" w:space="0"/>
            </w:tcBorders>
            <w:vAlign w:val="center"/>
          </w:tcPr>
          <w:p>
            <w:pPr>
              <w:rPr>
                <w:color w:val="auto"/>
                <w:sz w:val="24"/>
                <w:szCs w:val="24"/>
              </w:rPr>
            </w:pPr>
            <w:r>
              <w:rPr>
                <w:rFonts w:hint="eastAsia"/>
                <w:color w:val="auto"/>
                <w:sz w:val="24"/>
                <w:szCs w:val="24"/>
              </w:rPr>
              <w:t>达到唐山市级创新创业基地标准得5分；</w:t>
            </w:r>
          </w:p>
          <w:p>
            <w:pPr>
              <w:rPr>
                <w:rFonts w:asciiTheme="minorEastAsia" w:hAnsiTheme="minorEastAsia" w:eastAsiaTheme="minorEastAsia"/>
                <w:color w:val="auto"/>
                <w:sz w:val="24"/>
                <w:szCs w:val="24"/>
              </w:rPr>
            </w:pPr>
            <w:r>
              <w:rPr>
                <w:rFonts w:hint="eastAsia"/>
                <w:color w:val="auto"/>
                <w:sz w:val="24"/>
                <w:szCs w:val="24"/>
              </w:rPr>
              <w:t>达到河北省级创新创业基地标准得10分。最高得10分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2"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总分</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100</w:t>
            </w:r>
          </w:p>
        </w:tc>
        <w:tc>
          <w:tcPr>
            <w:tcW w:w="3299" w:type="pct"/>
            <w:tcBorders>
              <w:top w:val="outset" w:color="auto" w:sz="6" w:space="0"/>
              <w:left w:val="outset" w:color="auto" w:sz="6" w:space="0"/>
              <w:bottom w:val="outset" w:color="auto" w:sz="6" w:space="0"/>
              <w:right w:val="outset" w:color="auto" w:sz="6" w:space="0"/>
            </w:tcBorders>
            <w:vAlign w:val="center"/>
          </w:tcPr>
          <w:p>
            <w:pPr>
              <w:rPr>
                <w:rFonts w:hint="eastAsia" w:asciiTheme="minorEastAsia" w:hAnsiTheme="minorEastAsia" w:eastAsiaTheme="minorEastAsia"/>
                <w:color w:val="auto"/>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vMerge w:val="restar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加分项</w:t>
            </w:r>
            <w:r>
              <w:rPr>
                <w:rFonts w:asciiTheme="minorEastAsia" w:hAnsiTheme="minorEastAsia" w:eastAsiaTheme="minorEastAsia"/>
                <w:color w:val="auto"/>
                <w:sz w:val="24"/>
                <w:szCs w:val="24"/>
              </w:rPr>
              <w:br w:type="textWrapping"/>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5分）</w:t>
            </w:r>
          </w:p>
        </w:tc>
        <w:tc>
          <w:tcPr>
            <w:tcW w:w="922"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4</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获得奖项</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w:t>
            </w:r>
          </w:p>
        </w:tc>
        <w:tc>
          <w:tcPr>
            <w:tcW w:w="3299"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获得市级奖项得</w:t>
            </w:r>
            <w:r>
              <w:rPr>
                <w:rFonts w:asciiTheme="minorEastAsia" w:hAnsiTheme="minorEastAsia" w:eastAsiaTheme="minorEastAsia"/>
                <w:color w:val="auto"/>
                <w:sz w:val="24"/>
                <w:szCs w:val="24"/>
              </w:rPr>
              <w:t>2分</w:t>
            </w:r>
            <w:r>
              <w:rPr>
                <w:rFonts w:hint="eastAsia" w:asciiTheme="minorEastAsia" w:hAnsiTheme="minorEastAsia" w:eastAsiaTheme="minorEastAsia"/>
                <w:color w:val="auto"/>
                <w:sz w:val="24"/>
                <w:szCs w:val="24"/>
              </w:rPr>
              <w:t>，获得省级奖项得4分，最高得10分</w:t>
            </w:r>
            <w:r>
              <w:rPr>
                <w:rFonts w:asciiTheme="minorEastAsia" w:hAnsiTheme="minorEastAsia" w:eastAsiaTheme="minorEastAsia"/>
                <w:color w:val="auto"/>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3"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2"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5</w:t>
            </w:r>
            <w:r>
              <w:rPr>
                <w:rFonts w:asciiTheme="minorEastAsia" w:hAnsiTheme="minorEastAsia" w:eastAsiaTheme="minorEastAsia"/>
                <w:color w:val="auto"/>
                <w:sz w:val="24"/>
                <w:szCs w:val="24"/>
              </w:rPr>
              <w:t>、举办国际化大型活动情况</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p>
        </w:tc>
        <w:tc>
          <w:tcPr>
            <w:tcW w:w="3299"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举办一场具有国际影响力的大型双创活动，得</w:t>
            </w:r>
            <w:r>
              <w:rPr>
                <w:rFonts w:hint="eastAsia" w:asciiTheme="minorEastAsia" w:hAnsiTheme="minorEastAsia" w:eastAsiaTheme="minorEastAsia"/>
                <w:color w:val="auto"/>
                <w:sz w:val="24"/>
                <w:szCs w:val="24"/>
              </w:rPr>
              <w:t>5</w:t>
            </w:r>
            <w:r>
              <w:rPr>
                <w:rFonts w:asciiTheme="minorEastAsia" w:hAnsiTheme="minorEastAsia" w:eastAsiaTheme="minorEastAsia"/>
                <w:color w:val="auto"/>
                <w:sz w:val="24"/>
                <w:szCs w:val="24"/>
              </w:rPr>
              <w:t>分</w:t>
            </w:r>
          </w:p>
        </w:tc>
      </w:tr>
    </w:tbl>
    <w:p>
      <w:pPr>
        <w:adjustRightInd w:val="0"/>
        <w:snapToGrid w:val="0"/>
        <w:spacing w:line="360" w:lineRule="auto"/>
        <w:ind w:left="354" w:firstLine="241" w:firstLineChars="100"/>
        <w:rPr>
          <w:rFonts w:hint="eastAsia"/>
          <w:b/>
          <w:sz w:val="24"/>
        </w:rPr>
      </w:pPr>
    </w:p>
    <w:p>
      <w:pPr>
        <w:adjustRightInd w:val="0"/>
        <w:snapToGrid w:val="0"/>
        <w:spacing w:line="360" w:lineRule="auto"/>
        <w:ind w:left="354" w:firstLine="241" w:firstLineChars="100"/>
        <w:rPr>
          <w:b/>
          <w:sz w:val="24"/>
        </w:rPr>
      </w:pPr>
      <w:r>
        <w:rPr>
          <w:rFonts w:hint="eastAsia"/>
          <w:b/>
          <w:sz w:val="24"/>
        </w:rPr>
        <w:t>四、知识产权</w:t>
      </w:r>
    </w:p>
    <w:p>
      <w:pPr>
        <w:adjustRightInd w:val="0"/>
        <w:snapToGrid w:val="0"/>
        <w:spacing w:line="360" w:lineRule="auto"/>
        <w:ind w:firstLine="477" w:firstLineChars="199"/>
        <w:rPr>
          <w:sz w:val="24"/>
        </w:rPr>
      </w:pPr>
      <w:r>
        <w:rPr>
          <w:rFonts w:hint="eastAsia"/>
          <w:sz w:val="24"/>
        </w:rPr>
        <w:t>1.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pPr>
        <w:adjustRightInd w:val="0"/>
        <w:snapToGrid w:val="0"/>
        <w:spacing w:line="360" w:lineRule="auto"/>
        <w:ind w:firstLine="477" w:firstLineChars="199"/>
        <w:rPr>
          <w:sz w:val="24"/>
        </w:rPr>
      </w:pPr>
      <w:r>
        <w:rPr>
          <w:rFonts w:hint="eastAsia"/>
          <w:sz w:val="24"/>
        </w:rPr>
        <w:t>2.除非招标文件特别规定，采购人享有本项目实施过程中产生的知识成果及知识产权。</w:t>
      </w:r>
    </w:p>
    <w:p>
      <w:pPr>
        <w:adjustRightInd w:val="0"/>
        <w:snapToGrid w:val="0"/>
        <w:spacing w:line="360" w:lineRule="auto"/>
        <w:ind w:firstLine="477" w:firstLineChars="199"/>
        <w:rPr>
          <w:sz w:val="24"/>
        </w:rPr>
      </w:pPr>
      <w:r>
        <w:rPr>
          <w:rFonts w:hint="eastAsia"/>
          <w:sz w:val="24"/>
        </w:rPr>
        <w:t>3.投标人将在采购项目实施过程中采用自有或者第三方知识成果的，应当在投标文件中载明，并提供相关知识产权证明文件。使用该知识成果后，投标人需提供开发接口和开发手册等技术资料，并承诺提供无限期支持，采购人享有使用权（含采购人委托第三方在该项目后续开发的使用权）。</w:t>
      </w:r>
    </w:p>
    <w:p>
      <w:pPr>
        <w:adjustRightInd w:val="0"/>
        <w:snapToGrid w:val="0"/>
        <w:spacing w:line="360" w:lineRule="auto"/>
        <w:ind w:firstLine="477" w:firstLineChars="199"/>
        <w:rPr>
          <w:sz w:val="24"/>
        </w:rPr>
      </w:pPr>
      <w:r>
        <w:rPr>
          <w:rFonts w:hint="eastAsia"/>
          <w:sz w:val="24"/>
        </w:rPr>
        <w:t xml:space="preserve">4.如采用投标人所不拥有的知识产权，则在报价中必须包括合法获取该知识产权的相关费用。 </w:t>
      </w:r>
    </w:p>
    <w:p>
      <w:pPr>
        <w:adjustRightInd w:val="0"/>
        <w:snapToGrid w:val="0"/>
        <w:spacing w:line="360" w:lineRule="auto"/>
        <w:ind w:firstLine="479" w:firstLineChars="199"/>
        <w:rPr>
          <w:b/>
          <w:bCs/>
          <w:sz w:val="24"/>
        </w:rPr>
      </w:pPr>
      <w:r>
        <w:rPr>
          <w:rFonts w:hint="eastAsia"/>
          <w:b/>
          <w:bCs/>
          <w:sz w:val="24"/>
        </w:rPr>
        <w:t>五、履约保证金</w:t>
      </w:r>
    </w:p>
    <w:p>
      <w:pPr>
        <w:adjustRightInd w:val="0"/>
        <w:snapToGrid w:val="0"/>
        <w:spacing w:line="360" w:lineRule="auto"/>
        <w:ind w:firstLine="477" w:firstLineChars="199"/>
        <w:rPr>
          <w:rFonts w:hint="eastAsia"/>
          <w:sz w:val="24"/>
        </w:rPr>
      </w:pPr>
      <w:r>
        <w:rPr>
          <w:rFonts w:hint="eastAsia"/>
          <w:sz w:val="24"/>
        </w:rPr>
        <w:t>中标人应向采购人提交</w:t>
      </w:r>
      <w:r>
        <w:rPr>
          <w:rFonts w:hint="eastAsia"/>
          <w:sz w:val="24"/>
          <w:lang w:val="en-US" w:eastAsia="zh-CN"/>
        </w:rPr>
        <w:t>20万元的</w:t>
      </w:r>
      <w:r>
        <w:rPr>
          <w:rFonts w:hint="eastAsia"/>
          <w:sz w:val="24"/>
        </w:rPr>
        <w:t>履约保证金。保证金采用</w:t>
      </w:r>
      <w:r>
        <w:rPr>
          <w:rFonts w:hint="eastAsia"/>
          <w:sz w:val="24"/>
          <w:lang w:eastAsia="zh-CN"/>
        </w:rPr>
        <w:t>银行转账或</w:t>
      </w:r>
      <w:r>
        <w:rPr>
          <w:rFonts w:hint="eastAsia"/>
          <w:sz w:val="24"/>
        </w:rPr>
        <w:t>担保机构出具的保函方式。</w:t>
      </w:r>
    </w:p>
    <w:p>
      <w:pPr>
        <w:adjustRightInd w:val="0"/>
        <w:snapToGrid w:val="0"/>
        <w:spacing w:line="360" w:lineRule="auto"/>
        <w:ind w:firstLine="482" w:firstLineChars="200"/>
        <w:rPr>
          <w:b/>
          <w:sz w:val="24"/>
        </w:rPr>
      </w:pPr>
      <w:r>
        <w:rPr>
          <w:rFonts w:hint="eastAsia"/>
          <w:b/>
          <w:bCs/>
          <w:sz w:val="24"/>
          <w:szCs w:val="24"/>
        </w:rPr>
        <w:t>六、</w:t>
      </w:r>
      <w:r>
        <w:rPr>
          <w:rFonts w:hint="eastAsia"/>
          <w:b/>
          <w:bCs/>
          <w:sz w:val="24"/>
        </w:rPr>
        <w:t>本次招标采购由书面授权评标委员会直接确定中标人。</w:t>
      </w:r>
    </w:p>
    <w:p>
      <w:pPr>
        <w:adjustRightInd w:val="0"/>
        <w:snapToGrid w:val="0"/>
        <w:spacing w:line="360" w:lineRule="auto"/>
        <w:ind w:firstLine="477" w:firstLineChars="199"/>
        <w:rPr>
          <w:sz w:val="24"/>
        </w:rPr>
      </w:pPr>
    </w:p>
    <w:p>
      <w:pPr>
        <w:adjustRightInd w:val="0"/>
        <w:snapToGrid w:val="0"/>
        <w:spacing w:line="360" w:lineRule="auto"/>
        <w:rPr>
          <w:b/>
          <w:bCs/>
          <w:sz w:val="24"/>
        </w:rPr>
      </w:pPr>
    </w:p>
    <w:p>
      <w:pPr>
        <w:widowControl/>
        <w:spacing w:before="269" w:beforeLines="50" w:after="269" w:afterLines="50" w:line="360" w:lineRule="auto"/>
        <w:jc w:val="center"/>
        <w:outlineLvl w:val="0"/>
        <w:rPr>
          <w:b/>
          <w:bCs/>
          <w:sz w:val="44"/>
          <w:szCs w:val="44"/>
        </w:rPr>
      </w:pPr>
    </w:p>
    <w:p>
      <w:pPr>
        <w:spacing w:line="360" w:lineRule="auto"/>
        <w:ind w:firstLine="479" w:firstLineChars="199"/>
        <w:rPr>
          <w:b/>
          <w:bCs/>
          <w:sz w:val="24"/>
        </w:rPr>
      </w:pPr>
      <w:r>
        <w:rPr>
          <w:rFonts w:hint="eastAsia"/>
          <w:b/>
          <w:bCs/>
          <w:sz w:val="24"/>
        </w:rPr>
        <w:br w:type="page"/>
      </w:r>
    </w:p>
    <w:p>
      <w:pPr>
        <w:adjustRightInd w:val="0"/>
        <w:snapToGrid w:val="0"/>
        <w:spacing w:line="360" w:lineRule="auto"/>
        <w:ind w:firstLine="479" w:firstLineChars="199"/>
        <w:rPr>
          <w:b/>
          <w:bCs/>
          <w:sz w:val="24"/>
        </w:rPr>
      </w:pPr>
      <w:r>
        <w:rPr>
          <w:rFonts w:hint="eastAsia"/>
          <w:b/>
          <w:bCs/>
          <w:sz w:val="24"/>
        </w:rPr>
        <w:t>附件一                          资格审查内容</w:t>
      </w:r>
    </w:p>
    <w:p>
      <w:pPr>
        <w:adjustRightInd w:val="0"/>
        <w:snapToGrid w:val="0"/>
        <w:spacing w:line="360" w:lineRule="auto"/>
        <w:ind w:firstLine="479" w:firstLineChars="199"/>
        <w:rPr>
          <w:b/>
          <w:bCs/>
          <w:sz w:val="24"/>
        </w:rPr>
      </w:pPr>
      <w:r>
        <w:rPr>
          <w:rFonts w:hint="eastAsia"/>
          <w:b/>
          <w:bCs/>
          <w:sz w:val="24"/>
        </w:rPr>
        <w:t>本次采用资格后审</w:t>
      </w:r>
    </w:p>
    <w:p>
      <w:pPr>
        <w:adjustRightInd w:val="0"/>
        <w:snapToGrid w:val="0"/>
        <w:spacing w:line="360" w:lineRule="auto"/>
        <w:ind w:firstLine="480" w:firstLineChars="200"/>
        <w:jc w:val="left"/>
        <w:rPr>
          <w:sz w:val="24"/>
        </w:rPr>
      </w:pPr>
      <w:r>
        <w:rPr>
          <w:rFonts w:hint="eastAsia"/>
          <w:sz w:val="24"/>
        </w:rPr>
        <w:t>投标人参加</w:t>
      </w:r>
      <w:r>
        <w:rPr>
          <w:rFonts w:hint="eastAsia"/>
          <w:snapToGrid w:val="0"/>
          <w:sz w:val="24"/>
        </w:rPr>
        <w:t>本次投标</w:t>
      </w:r>
      <w:r>
        <w:rPr>
          <w:rFonts w:hint="eastAsia"/>
          <w:sz w:val="24"/>
        </w:rPr>
        <w:t>必须在“递交投标文件截止时间”前向采购人提交下列资格审查的原件。</w:t>
      </w:r>
      <w:r>
        <w:rPr>
          <w:rFonts w:hint="eastAsia"/>
          <w:sz w:val="24"/>
          <w:szCs w:val="24"/>
        </w:rPr>
        <w:t>如不能提供原件的需提供有效复印件（有效复印件是指经发证机关签鲜章确认的或经公证部门公证后确认与原件相符的复印件），且注明</w:t>
      </w:r>
      <w:r>
        <w:rPr>
          <w:rFonts w:hint="eastAsia"/>
          <w:b/>
          <w:bCs/>
          <w:sz w:val="24"/>
          <w:szCs w:val="24"/>
        </w:rPr>
        <w:t>“此复印件与原件相符”</w:t>
      </w:r>
      <w:r>
        <w:rPr>
          <w:rFonts w:hint="eastAsia"/>
          <w:sz w:val="24"/>
          <w:szCs w:val="24"/>
        </w:rPr>
        <w:t>的字样。</w:t>
      </w:r>
    </w:p>
    <w:p>
      <w:pPr>
        <w:tabs>
          <w:tab w:val="left" w:pos="966"/>
          <w:tab w:val="left" w:pos="1127"/>
          <w:tab w:val="left" w:pos="1610"/>
          <w:tab w:val="left" w:pos="1771"/>
        </w:tabs>
        <w:adjustRightInd w:val="0"/>
        <w:snapToGrid w:val="0"/>
        <w:spacing w:line="360" w:lineRule="auto"/>
        <w:ind w:firstLine="480"/>
        <w:rPr>
          <w:b/>
          <w:bCs/>
          <w:sz w:val="24"/>
          <w:szCs w:val="24"/>
        </w:rPr>
      </w:pPr>
    </w:p>
    <w:tbl>
      <w:tblPr>
        <w:tblStyle w:val="20"/>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737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21" w:type="dxa"/>
            <w:vAlign w:val="center"/>
          </w:tcPr>
          <w:p>
            <w:pPr>
              <w:snapToGrid w:val="0"/>
              <w:jc w:val="center"/>
              <w:rPr>
                <w:kern w:val="2"/>
                <w:sz w:val="21"/>
                <w:szCs w:val="20"/>
              </w:rPr>
            </w:pPr>
            <w:r>
              <w:rPr>
                <w:rFonts w:hint="eastAsia"/>
                <w:kern w:val="2"/>
                <w:sz w:val="21"/>
                <w:szCs w:val="20"/>
              </w:rPr>
              <w:t>序号</w:t>
            </w:r>
          </w:p>
        </w:tc>
        <w:tc>
          <w:tcPr>
            <w:tcW w:w="7375" w:type="dxa"/>
            <w:vAlign w:val="center"/>
          </w:tcPr>
          <w:p>
            <w:pPr>
              <w:snapToGrid w:val="0"/>
              <w:jc w:val="center"/>
              <w:rPr>
                <w:kern w:val="2"/>
                <w:sz w:val="21"/>
                <w:szCs w:val="20"/>
              </w:rPr>
            </w:pPr>
            <w:r>
              <w:rPr>
                <w:rFonts w:hint="eastAsia"/>
                <w:kern w:val="2"/>
                <w:sz w:val="21"/>
                <w:szCs w:val="20"/>
              </w:rPr>
              <w:t>内容</w:t>
            </w:r>
          </w:p>
        </w:tc>
        <w:tc>
          <w:tcPr>
            <w:tcW w:w="780" w:type="dxa"/>
            <w:vAlign w:val="center"/>
          </w:tcPr>
          <w:p>
            <w:pPr>
              <w:snapToGrid w:val="0"/>
              <w:jc w:val="center"/>
              <w:rPr>
                <w:kern w:val="2"/>
                <w:sz w:val="21"/>
                <w:szCs w:val="20"/>
              </w:rPr>
            </w:pPr>
            <w:r>
              <w:rPr>
                <w:rFonts w:hint="eastAsia"/>
                <w:kern w:val="2"/>
                <w:sz w:val="21"/>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21" w:type="dxa"/>
            <w:vAlign w:val="center"/>
          </w:tcPr>
          <w:p>
            <w:pPr>
              <w:snapToGrid w:val="0"/>
              <w:jc w:val="center"/>
              <w:rPr>
                <w:kern w:val="2"/>
                <w:sz w:val="21"/>
                <w:szCs w:val="20"/>
              </w:rPr>
            </w:pPr>
            <w:r>
              <w:rPr>
                <w:kern w:val="2"/>
                <w:sz w:val="21"/>
                <w:szCs w:val="20"/>
              </w:rPr>
              <w:t>1</w:t>
            </w:r>
          </w:p>
        </w:tc>
        <w:tc>
          <w:tcPr>
            <w:tcW w:w="7375" w:type="dxa"/>
            <w:vAlign w:val="center"/>
          </w:tcPr>
          <w:p>
            <w:pPr>
              <w:snapToGrid w:val="0"/>
              <w:jc w:val="left"/>
              <w:rPr>
                <w:kern w:val="2"/>
                <w:sz w:val="21"/>
                <w:szCs w:val="20"/>
              </w:rPr>
            </w:pPr>
            <w:r>
              <w:rPr>
                <w:rFonts w:hint="eastAsia"/>
                <w:kern w:val="2"/>
                <w:sz w:val="21"/>
                <w:szCs w:val="20"/>
              </w:rPr>
              <w:t>法人或者其他组织的营业执照等证明文件，自然人的身份证明原件。要求提供的证件，若已完成多证合一的只需提供营业执照。</w:t>
            </w:r>
          </w:p>
        </w:tc>
        <w:tc>
          <w:tcPr>
            <w:tcW w:w="780" w:type="dxa"/>
            <w:vAlign w:val="center"/>
          </w:tcPr>
          <w:p>
            <w:pPr>
              <w:snapToGrid w:val="0"/>
              <w:jc w:val="center"/>
              <w:rPr>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21" w:type="dxa"/>
            <w:vAlign w:val="center"/>
          </w:tcPr>
          <w:p>
            <w:pPr>
              <w:snapToGrid w:val="0"/>
              <w:jc w:val="center"/>
              <w:rPr>
                <w:kern w:val="2"/>
                <w:sz w:val="21"/>
                <w:szCs w:val="20"/>
              </w:rPr>
            </w:pPr>
            <w:r>
              <w:rPr>
                <w:kern w:val="2"/>
                <w:sz w:val="21"/>
                <w:szCs w:val="20"/>
              </w:rPr>
              <w:t>2</w:t>
            </w:r>
          </w:p>
        </w:tc>
        <w:tc>
          <w:tcPr>
            <w:tcW w:w="7375" w:type="dxa"/>
            <w:vAlign w:val="center"/>
          </w:tcPr>
          <w:p>
            <w:pPr>
              <w:snapToGrid w:val="0"/>
              <w:jc w:val="left"/>
              <w:rPr>
                <w:kern w:val="2"/>
                <w:sz w:val="21"/>
                <w:szCs w:val="20"/>
              </w:rPr>
            </w:pPr>
            <w:r>
              <w:rPr>
                <w:rFonts w:hint="eastAsia"/>
                <w:kern w:val="2"/>
                <w:sz w:val="21"/>
                <w:szCs w:val="20"/>
              </w:rPr>
              <w:t>法定代表人（负责人）或授权委托人身份证原件（如为授权委托人，还须提供授权委托书原件）。</w:t>
            </w:r>
          </w:p>
        </w:tc>
        <w:tc>
          <w:tcPr>
            <w:tcW w:w="780" w:type="dxa"/>
            <w:vAlign w:val="center"/>
          </w:tcPr>
          <w:p>
            <w:pPr>
              <w:snapToGrid w:val="0"/>
              <w:jc w:val="center"/>
              <w:rPr>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 w:type="dxa"/>
            <w:vAlign w:val="center"/>
          </w:tcPr>
          <w:p>
            <w:pPr>
              <w:snapToGrid w:val="0"/>
              <w:jc w:val="center"/>
              <w:rPr>
                <w:kern w:val="2"/>
                <w:sz w:val="21"/>
                <w:szCs w:val="20"/>
              </w:rPr>
            </w:pPr>
            <w:r>
              <w:rPr>
                <w:kern w:val="2"/>
                <w:sz w:val="21"/>
                <w:szCs w:val="20"/>
              </w:rPr>
              <w:t>3</w:t>
            </w:r>
          </w:p>
        </w:tc>
        <w:tc>
          <w:tcPr>
            <w:tcW w:w="7375" w:type="dxa"/>
            <w:vAlign w:val="center"/>
          </w:tcPr>
          <w:p>
            <w:pPr>
              <w:snapToGrid w:val="0"/>
              <w:ind w:right="-372" w:rightChars="-133"/>
              <w:jc w:val="left"/>
              <w:rPr>
                <w:kern w:val="2"/>
                <w:sz w:val="21"/>
                <w:szCs w:val="20"/>
              </w:rPr>
            </w:pPr>
            <w:r>
              <w:rPr>
                <w:rFonts w:hint="eastAsia"/>
                <w:kern w:val="2"/>
                <w:sz w:val="21"/>
                <w:szCs w:val="20"/>
              </w:rPr>
              <w:t>授权委托人需提供在本单位的近六个月中任意一个月的的社保证明资料。</w:t>
            </w:r>
          </w:p>
        </w:tc>
        <w:tc>
          <w:tcPr>
            <w:tcW w:w="780" w:type="dxa"/>
            <w:vAlign w:val="center"/>
          </w:tcPr>
          <w:p>
            <w:pPr>
              <w:snapToGrid w:val="0"/>
              <w:jc w:val="center"/>
              <w:rPr>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21" w:type="dxa"/>
            <w:vAlign w:val="center"/>
          </w:tcPr>
          <w:p>
            <w:pPr>
              <w:snapToGrid w:val="0"/>
              <w:jc w:val="center"/>
              <w:rPr>
                <w:kern w:val="2"/>
                <w:sz w:val="21"/>
                <w:szCs w:val="20"/>
              </w:rPr>
            </w:pPr>
            <w:r>
              <w:rPr>
                <w:kern w:val="2"/>
                <w:sz w:val="21"/>
                <w:szCs w:val="20"/>
              </w:rPr>
              <w:t>4</w:t>
            </w:r>
          </w:p>
        </w:tc>
        <w:tc>
          <w:tcPr>
            <w:tcW w:w="7375" w:type="dxa"/>
            <w:vAlign w:val="center"/>
          </w:tcPr>
          <w:p>
            <w:pPr>
              <w:snapToGrid w:val="0"/>
              <w:jc w:val="left"/>
              <w:rPr>
                <w:kern w:val="2"/>
                <w:sz w:val="21"/>
                <w:szCs w:val="20"/>
              </w:rPr>
            </w:pPr>
            <w:r>
              <w:rPr>
                <w:rFonts w:hint="eastAsia"/>
                <w:kern w:val="2"/>
                <w:sz w:val="21"/>
                <w:szCs w:val="20"/>
              </w:rPr>
              <w:t>保证金的基本账户开户银行汇款凭证，并加盖投标人鲜章。</w:t>
            </w:r>
          </w:p>
        </w:tc>
        <w:tc>
          <w:tcPr>
            <w:tcW w:w="780" w:type="dxa"/>
            <w:vAlign w:val="center"/>
          </w:tcPr>
          <w:p>
            <w:pPr>
              <w:snapToGrid w:val="0"/>
              <w:jc w:val="center"/>
              <w:rPr>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 w:type="dxa"/>
            <w:vAlign w:val="center"/>
          </w:tcPr>
          <w:p>
            <w:pPr>
              <w:snapToGrid w:val="0"/>
              <w:jc w:val="center"/>
              <w:rPr>
                <w:kern w:val="2"/>
                <w:sz w:val="21"/>
                <w:szCs w:val="20"/>
              </w:rPr>
            </w:pPr>
            <w:r>
              <w:rPr>
                <w:kern w:val="2"/>
                <w:sz w:val="21"/>
                <w:szCs w:val="20"/>
              </w:rPr>
              <w:t>5</w:t>
            </w:r>
          </w:p>
        </w:tc>
        <w:tc>
          <w:tcPr>
            <w:tcW w:w="7375" w:type="dxa"/>
            <w:vAlign w:val="center"/>
          </w:tcPr>
          <w:p>
            <w:pPr>
              <w:snapToGrid w:val="0"/>
              <w:jc w:val="left"/>
              <w:rPr>
                <w:kern w:val="2"/>
                <w:sz w:val="21"/>
                <w:szCs w:val="20"/>
              </w:rPr>
            </w:pPr>
            <w:r>
              <w:rPr>
                <w:kern w:val="2"/>
                <w:sz w:val="21"/>
                <w:szCs w:val="20"/>
              </w:rPr>
              <w:t>1.</w:t>
            </w:r>
            <w:r>
              <w:rPr>
                <w:rFonts w:hint="eastAsia"/>
                <w:kern w:val="2"/>
                <w:sz w:val="21"/>
                <w:szCs w:val="20"/>
              </w:rPr>
              <w:t>财务状况报告：经审计的财务报告（上一年度或本年度）或银行出具的资信证明原件（有效期内）；</w:t>
            </w:r>
          </w:p>
          <w:p>
            <w:pPr>
              <w:snapToGrid w:val="0"/>
              <w:jc w:val="left"/>
              <w:rPr>
                <w:kern w:val="2"/>
                <w:sz w:val="21"/>
                <w:szCs w:val="20"/>
              </w:rPr>
            </w:pPr>
            <w:r>
              <w:rPr>
                <w:kern w:val="2"/>
                <w:sz w:val="21"/>
                <w:szCs w:val="20"/>
              </w:rPr>
              <w:t>2.</w:t>
            </w:r>
            <w:r>
              <w:rPr>
                <w:rFonts w:hint="eastAsia"/>
                <w:kern w:val="2"/>
                <w:sz w:val="21"/>
                <w:szCs w:val="20"/>
              </w:rPr>
              <w:t>依法缴纳税收：参加政府采购活动近六个月中任意一个月的时间内缴纳增值税、企业所得税的凭据（包括税务机关或开户银行的缴纳凭证）；</w:t>
            </w:r>
          </w:p>
          <w:p>
            <w:pPr>
              <w:snapToGrid w:val="0"/>
              <w:jc w:val="left"/>
              <w:rPr>
                <w:kern w:val="2"/>
                <w:sz w:val="21"/>
                <w:szCs w:val="20"/>
              </w:rPr>
            </w:pPr>
            <w:r>
              <w:rPr>
                <w:kern w:val="2"/>
                <w:sz w:val="21"/>
                <w:szCs w:val="20"/>
              </w:rPr>
              <w:t>3.</w:t>
            </w:r>
            <w:r>
              <w:rPr>
                <w:rFonts w:hint="eastAsia"/>
                <w:kern w:val="2"/>
                <w:sz w:val="21"/>
                <w:szCs w:val="20"/>
              </w:rPr>
              <w:t>社会保障资金：参加政府采购活动近六个月中任意一个月的时间内缴纳社会保险的凭据，其他组织和自然人也需要提供缴纳税收的凭据和缴纳社会保险的凭据（包括社保机关、税务机关或开户银行的缴纳凭证）。</w:t>
            </w:r>
          </w:p>
          <w:p>
            <w:pPr>
              <w:snapToGrid w:val="0"/>
              <w:jc w:val="left"/>
              <w:rPr>
                <w:kern w:val="2"/>
                <w:sz w:val="21"/>
                <w:szCs w:val="20"/>
              </w:rPr>
            </w:pPr>
            <w:r>
              <w:rPr>
                <w:rFonts w:hint="eastAsia"/>
                <w:b/>
                <w:bCs/>
                <w:kern w:val="2"/>
                <w:sz w:val="21"/>
                <w:szCs w:val="20"/>
              </w:rPr>
              <w:t>注：依法免税或不需要缴纳社会保障资金的投标人，应提供相应文件证明其依法免税或不需要缴纳社会保障资金。</w:t>
            </w:r>
          </w:p>
        </w:tc>
        <w:tc>
          <w:tcPr>
            <w:tcW w:w="780" w:type="dxa"/>
            <w:vAlign w:val="center"/>
          </w:tcPr>
          <w:p>
            <w:pPr>
              <w:snapToGrid w:val="0"/>
              <w:jc w:val="center"/>
              <w:rPr>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vAlign w:val="center"/>
          </w:tcPr>
          <w:p>
            <w:pPr>
              <w:snapToGrid w:val="0"/>
              <w:jc w:val="center"/>
              <w:rPr>
                <w:kern w:val="2"/>
                <w:sz w:val="21"/>
                <w:szCs w:val="20"/>
              </w:rPr>
            </w:pPr>
            <w:r>
              <w:rPr>
                <w:kern w:val="2"/>
                <w:sz w:val="21"/>
                <w:szCs w:val="20"/>
              </w:rPr>
              <w:t>6</w:t>
            </w:r>
          </w:p>
        </w:tc>
        <w:tc>
          <w:tcPr>
            <w:tcW w:w="7375" w:type="dxa"/>
            <w:vAlign w:val="center"/>
          </w:tcPr>
          <w:p>
            <w:pPr>
              <w:snapToGrid w:val="0"/>
              <w:jc w:val="left"/>
              <w:rPr>
                <w:kern w:val="2"/>
                <w:sz w:val="21"/>
                <w:szCs w:val="20"/>
              </w:rPr>
            </w:pPr>
            <w:r>
              <w:rPr>
                <w:rFonts w:hint="eastAsia"/>
                <w:kern w:val="2"/>
                <w:sz w:val="21"/>
                <w:szCs w:val="20"/>
              </w:rPr>
              <w:t>具备履行合同所必需的设备和专业技术能力的证明材料。提供企业概况并加盖投标人鲜章</w:t>
            </w:r>
          </w:p>
        </w:tc>
        <w:tc>
          <w:tcPr>
            <w:tcW w:w="780" w:type="dxa"/>
            <w:vAlign w:val="center"/>
          </w:tcPr>
          <w:p>
            <w:pPr>
              <w:snapToGrid w:val="0"/>
              <w:ind w:right="-361" w:rightChars="-129"/>
              <w:jc w:val="left"/>
              <w:rPr>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21" w:type="dxa"/>
            <w:vAlign w:val="center"/>
          </w:tcPr>
          <w:p>
            <w:pPr>
              <w:snapToGrid w:val="0"/>
              <w:jc w:val="center"/>
              <w:rPr>
                <w:kern w:val="2"/>
                <w:sz w:val="21"/>
                <w:szCs w:val="20"/>
              </w:rPr>
            </w:pPr>
            <w:r>
              <w:rPr>
                <w:kern w:val="2"/>
                <w:sz w:val="21"/>
                <w:szCs w:val="20"/>
              </w:rPr>
              <w:t>7</w:t>
            </w:r>
          </w:p>
        </w:tc>
        <w:tc>
          <w:tcPr>
            <w:tcW w:w="7375" w:type="dxa"/>
            <w:vAlign w:val="center"/>
          </w:tcPr>
          <w:p>
            <w:pPr>
              <w:snapToGrid w:val="0"/>
              <w:jc w:val="left"/>
              <w:rPr>
                <w:kern w:val="2"/>
                <w:sz w:val="21"/>
                <w:szCs w:val="20"/>
              </w:rPr>
            </w:pPr>
            <w:r>
              <w:rPr>
                <w:rFonts w:hint="eastAsia"/>
                <w:kern w:val="2"/>
                <w:sz w:val="21"/>
                <w:szCs w:val="20"/>
              </w:rPr>
              <w:t>参加政府采购活动前</w:t>
            </w:r>
            <w:r>
              <w:rPr>
                <w:kern w:val="2"/>
                <w:sz w:val="21"/>
                <w:szCs w:val="20"/>
              </w:rPr>
              <w:t>3</w:t>
            </w:r>
            <w:r>
              <w:rPr>
                <w:rFonts w:hint="eastAsia"/>
                <w:kern w:val="2"/>
                <w:sz w:val="21"/>
                <w:szCs w:val="20"/>
              </w:rPr>
              <w:t>年内在经营活动中没有重大违法记录的书面声明原件。提供至开标前“信用中国”网站</w:t>
            </w:r>
            <w:r>
              <w:rPr>
                <w:kern w:val="2"/>
                <w:sz w:val="21"/>
                <w:szCs w:val="20"/>
              </w:rPr>
              <w:t>(www.creditchina.gov.cn)</w:t>
            </w:r>
            <w:r>
              <w:rPr>
                <w:rFonts w:hint="eastAsia"/>
                <w:kern w:val="2"/>
                <w:sz w:val="21"/>
                <w:szCs w:val="20"/>
              </w:rPr>
              <w:t>、中国政府采购网</w:t>
            </w:r>
            <w:r>
              <w:rPr>
                <w:kern w:val="2"/>
                <w:sz w:val="21"/>
                <w:szCs w:val="20"/>
              </w:rPr>
              <w:t>(www.ccgp.gov.cn)</w:t>
            </w:r>
            <w:r>
              <w:rPr>
                <w:rFonts w:hint="eastAsia"/>
                <w:kern w:val="2"/>
                <w:sz w:val="21"/>
                <w:szCs w:val="20"/>
              </w:rPr>
              <w:t>等渠道查询的信用信息查询记录截图，并加盖投标人鲜章。</w:t>
            </w:r>
          </w:p>
        </w:tc>
        <w:tc>
          <w:tcPr>
            <w:tcW w:w="780" w:type="dxa"/>
            <w:vAlign w:val="center"/>
          </w:tcPr>
          <w:p>
            <w:pPr>
              <w:snapToGrid w:val="0"/>
              <w:jc w:val="center"/>
              <w:rPr>
                <w:kern w:val="2"/>
                <w:sz w:val="21"/>
                <w:szCs w:val="20"/>
              </w:rPr>
            </w:pPr>
          </w:p>
        </w:tc>
      </w:tr>
    </w:tbl>
    <w:p>
      <w:pPr>
        <w:tabs>
          <w:tab w:val="left" w:pos="966"/>
          <w:tab w:val="left" w:pos="1127"/>
          <w:tab w:val="left" w:pos="1610"/>
          <w:tab w:val="left" w:pos="1771"/>
        </w:tabs>
        <w:adjustRightInd w:val="0"/>
        <w:snapToGrid w:val="0"/>
        <w:spacing w:line="360" w:lineRule="auto"/>
        <w:rPr>
          <w:sz w:val="24"/>
          <w:szCs w:val="24"/>
        </w:rPr>
      </w:pPr>
      <w:r>
        <w:rPr>
          <w:rFonts w:hint="eastAsia"/>
          <w:sz w:val="24"/>
          <w:szCs w:val="24"/>
        </w:rPr>
        <w:t>注：</w:t>
      </w:r>
      <w:r>
        <w:rPr>
          <w:sz w:val="24"/>
          <w:szCs w:val="24"/>
        </w:rPr>
        <w:t>1.</w:t>
      </w:r>
      <w:r>
        <w:rPr>
          <w:rFonts w:hint="eastAsia"/>
          <w:sz w:val="24"/>
          <w:szCs w:val="24"/>
        </w:rPr>
        <w:t>未能提供以上资料或提供资料不全的，为无效投标。</w:t>
      </w:r>
    </w:p>
    <w:p>
      <w:pPr>
        <w:tabs>
          <w:tab w:val="left" w:pos="966"/>
          <w:tab w:val="left" w:pos="1127"/>
          <w:tab w:val="left" w:pos="1610"/>
          <w:tab w:val="left" w:pos="1771"/>
        </w:tabs>
        <w:adjustRightInd w:val="0"/>
        <w:snapToGrid w:val="0"/>
        <w:spacing w:line="360" w:lineRule="auto"/>
        <w:ind w:firstLine="480"/>
        <w:rPr>
          <w:sz w:val="24"/>
          <w:szCs w:val="24"/>
        </w:rPr>
      </w:pPr>
      <w:r>
        <w:rPr>
          <w:sz w:val="24"/>
          <w:szCs w:val="24"/>
        </w:rPr>
        <w:t>2.</w:t>
      </w:r>
      <w:r>
        <w:rPr>
          <w:rFonts w:hint="eastAsia"/>
          <w:sz w:val="24"/>
          <w:szCs w:val="24"/>
        </w:rPr>
        <w:t>授权委托书、企业概况及无重大违法记录的声明格式按照招标文件提供的格式填写，否则为无效投标。</w:t>
      </w:r>
    </w:p>
    <w:p>
      <w:pPr>
        <w:tabs>
          <w:tab w:val="left" w:pos="966"/>
          <w:tab w:val="left" w:pos="1127"/>
          <w:tab w:val="left" w:pos="1610"/>
          <w:tab w:val="left" w:pos="1771"/>
        </w:tabs>
        <w:adjustRightInd w:val="0"/>
        <w:snapToGrid w:val="0"/>
        <w:spacing w:line="360" w:lineRule="auto"/>
        <w:ind w:firstLine="480"/>
        <w:rPr>
          <w:b/>
          <w:bCs/>
          <w:sz w:val="24"/>
          <w:szCs w:val="24"/>
        </w:rPr>
      </w:pPr>
      <w:r>
        <w:rPr>
          <w:b/>
          <w:bCs/>
          <w:sz w:val="44"/>
          <w:szCs w:val="44"/>
        </w:rPr>
        <w:br w:type="page"/>
      </w:r>
      <w:r>
        <w:rPr>
          <w:rFonts w:hint="eastAsia"/>
          <w:b/>
          <w:bCs/>
          <w:sz w:val="24"/>
          <w:szCs w:val="24"/>
        </w:rPr>
        <w:t>附件二                        符合性检查内容</w:t>
      </w:r>
    </w:p>
    <w:p>
      <w:pPr>
        <w:tabs>
          <w:tab w:val="left" w:pos="966"/>
          <w:tab w:val="left" w:pos="1127"/>
          <w:tab w:val="left" w:pos="1610"/>
          <w:tab w:val="left" w:pos="1771"/>
        </w:tabs>
        <w:adjustRightInd w:val="0"/>
        <w:snapToGrid w:val="0"/>
        <w:spacing w:line="360" w:lineRule="auto"/>
        <w:ind w:firstLine="480"/>
        <w:rPr>
          <w:sz w:val="24"/>
        </w:rPr>
      </w:pPr>
      <w:r>
        <w:rPr>
          <w:rFonts w:hint="eastAsia"/>
          <w:sz w:val="24"/>
        </w:rPr>
        <w:t>评标委员会对投标文件的有效性、完整性和响应程度进行审查包括但不限于以下内容。</w:t>
      </w:r>
    </w:p>
    <w:tbl>
      <w:tblPr>
        <w:tblStyle w:val="21"/>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150"/>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4" w:type="dxa"/>
          </w:tcPr>
          <w:p>
            <w:pPr>
              <w:snapToGrid w:val="0"/>
              <w:jc w:val="center"/>
              <w:rPr>
                <w:kern w:val="2"/>
                <w:sz w:val="24"/>
                <w:szCs w:val="24"/>
              </w:rPr>
            </w:pPr>
            <w:r>
              <w:rPr>
                <w:rFonts w:hint="eastAsia"/>
                <w:kern w:val="2"/>
                <w:sz w:val="24"/>
                <w:szCs w:val="24"/>
              </w:rPr>
              <w:t>序号</w:t>
            </w:r>
          </w:p>
        </w:tc>
        <w:tc>
          <w:tcPr>
            <w:tcW w:w="7150" w:type="dxa"/>
          </w:tcPr>
          <w:p>
            <w:pPr>
              <w:snapToGrid w:val="0"/>
              <w:jc w:val="center"/>
              <w:rPr>
                <w:kern w:val="2"/>
                <w:sz w:val="24"/>
                <w:szCs w:val="24"/>
              </w:rPr>
            </w:pPr>
            <w:r>
              <w:rPr>
                <w:rFonts w:hint="eastAsia"/>
                <w:kern w:val="2"/>
                <w:sz w:val="24"/>
                <w:szCs w:val="24"/>
              </w:rPr>
              <w:t>内容</w:t>
            </w:r>
          </w:p>
        </w:tc>
        <w:tc>
          <w:tcPr>
            <w:tcW w:w="888" w:type="dxa"/>
          </w:tcPr>
          <w:p>
            <w:pPr>
              <w:snapToGrid w:val="0"/>
              <w:jc w:val="center"/>
              <w:rPr>
                <w:kern w:val="2"/>
                <w:sz w:val="24"/>
                <w:szCs w:val="24"/>
              </w:rPr>
            </w:pPr>
            <w:r>
              <w:rPr>
                <w:rFonts w:hint="eastAsia"/>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94" w:type="dxa"/>
          </w:tcPr>
          <w:p>
            <w:pPr>
              <w:snapToGrid w:val="0"/>
              <w:jc w:val="center"/>
              <w:rPr>
                <w:kern w:val="2"/>
                <w:sz w:val="24"/>
                <w:szCs w:val="24"/>
              </w:rPr>
            </w:pPr>
            <w:r>
              <w:rPr>
                <w:rFonts w:hint="eastAsia"/>
                <w:kern w:val="2"/>
                <w:sz w:val="24"/>
                <w:szCs w:val="24"/>
              </w:rPr>
              <w:t>1</w:t>
            </w:r>
          </w:p>
        </w:tc>
        <w:tc>
          <w:tcPr>
            <w:tcW w:w="7150" w:type="dxa"/>
          </w:tcPr>
          <w:p>
            <w:pPr>
              <w:snapToGrid w:val="0"/>
              <w:jc w:val="left"/>
              <w:rPr>
                <w:kern w:val="2"/>
                <w:sz w:val="24"/>
                <w:szCs w:val="24"/>
              </w:rPr>
            </w:pPr>
            <w:r>
              <w:rPr>
                <w:rFonts w:hint="eastAsia"/>
                <w:kern w:val="2"/>
                <w:sz w:val="24"/>
                <w:szCs w:val="24"/>
              </w:rPr>
              <w:t>承诺函</w:t>
            </w:r>
          </w:p>
        </w:tc>
        <w:tc>
          <w:tcPr>
            <w:tcW w:w="888" w:type="dxa"/>
          </w:tcPr>
          <w:p>
            <w:pPr>
              <w:snapToGrid w:val="0"/>
              <w:jc w:val="left"/>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94" w:type="dxa"/>
          </w:tcPr>
          <w:p>
            <w:pPr>
              <w:snapToGrid w:val="0"/>
              <w:jc w:val="center"/>
              <w:rPr>
                <w:kern w:val="2"/>
                <w:sz w:val="24"/>
                <w:szCs w:val="24"/>
              </w:rPr>
            </w:pPr>
            <w:r>
              <w:rPr>
                <w:rFonts w:hint="eastAsia"/>
                <w:kern w:val="2"/>
                <w:sz w:val="24"/>
                <w:szCs w:val="24"/>
              </w:rPr>
              <w:t>2</w:t>
            </w:r>
          </w:p>
        </w:tc>
        <w:tc>
          <w:tcPr>
            <w:tcW w:w="7150" w:type="dxa"/>
          </w:tcPr>
          <w:p>
            <w:pPr>
              <w:snapToGrid w:val="0"/>
              <w:jc w:val="left"/>
              <w:rPr>
                <w:kern w:val="2"/>
                <w:sz w:val="24"/>
                <w:szCs w:val="24"/>
              </w:rPr>
            </w:pPr>
            <w:r>
              <w:rPr>
                <w:rFonts w:hint="eastAsia"/>
                <w:kern w:val="2"/>
                <w:sz w:val="24"/>
                <w:szCs w:val="24"/>
              </w:rPr>
              <w:t>投标文件有效期</w:t>
            </w:r>
          </w:p>
        </w:tc>
        <w:tc>
          <w:tcPr>
            <w:tcW w:w="888" w:type="dxa"/>
          </w:tcPr>
          <w:p>
            <w:pPr>
              <w:snapToGrid w:val="0"/>
              <w:jc w:val="left"/>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4" w:type="dxa"/>
          </w:tcPr>
          <w:p>
            <w:pPr>
              <w:snapToGrid w:val="0"/>
              <w:jc w:val="center"/>
              <w:rPr>
                <w:kern w:val="2"/>
                <w:sz w:val="24"/>
                <w:szCs w:val="24"/>
              </w:rPr>
            </w:pPr>
            <w:r>
              <w:rPr>
                <w:rFonts w:hint="eastAsia"/>
                <w:kern w:val="2"/>
                <w:sz w:val="24"/>
                <w:szCs w:val="24"/>
              </w:rPr>
              <w:t>3</w:t>
            </w:r>
          </w:p>
        </w:tc>
        <w:tc>
          <w:tcPr>
            <w:tcW w:w="7150" w:type="dxa"/>
          </w:tcPr>
          <w:p>
            <w:pPr>
              <w:snapToGrid w:val="0"/>
              <w:jc w:val="left"/>
              <w:rPr>
                <w:kern w:val="2"/>
                <w:sz w:val="24"/>
                <w:szCs w:val="24"/>
              </w:rPr>
            </w:pPr>
            <w:r>
              <w:rPr>
                <w:rFonts w:hint="eastAsia"/>
                <w:kern w:val="2"/>
                <w:sz w:val="24"/>
                <w:szCs w:val="24"/>
              </w:rPr>
              <w:t>法定代表人（负责人）证明（如为授权委托人，还须提供授权委托书）、投标文件的签署</w:t>
            </w:r>
          </w:p>
        </w:tc>
        <w:tc>
          <w:tcPr>
            <w:tcW w:w="888" w:type="dxa"/>
          </w:tcPr>
          <w:p>
            <w:pPr>
              <w:snapToGrid w:val="0"/>
              <w:jc w:val="left"/>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4" w:type="dxa"/>
          </w:tcPr>
          <w:p>
            <w:pPr>
              <w:snapToGrid w:val="0"/>
              <w:jc w:val="center"/>
              <w:rPr>
                <w:kern w:val="2"/>
                <w:sz w:val="24"/>
                <w:szCs w:val="24"/>
              </w:rPr>
            </w:pPr>
            <w:r>
              <w:rPr>
                <w:rFonts w:hint="eastAsia"/>
                <w:kern w:val="2"/>
                <w:sz w:val="24"/>
                <w:szCs w:val="24"/>
              </w:rPr>
              <w:t>4</w:t>
            </w:r>
          </w:p>
        </w:tc>
        <w:tc>
          <w:tcPr>
            <w:tcW w:w="7150" w:type="dxa"/>
          </w:tcPr>
          <w:p>
            <w:pPr>
              <w:snapToGrid w:val="0"/>
              <w:jc w:val="left"/>
              <w:rPr>
                <w:kern w:val="2"/>
                <w:sz w:val="24"/>
                <w:szCs w:val="24"/>
              </w:rPr>
            </w:pPr>
            <w:r>
              <w:rPr>
                <w:rFonts w:hint="eastAsia"/>
                <w:kern w:val="2"/>
                <w:sz w:val="24"/>
                <w:szCs w:val="24"/>
              </w:rPr>
              <w:t>质量承诺及服务期限</w:t>
            </w:r>
          </w:p>
        </w:tc>
        <w:tc>
          <w:tcPr>
            <w:tcW w:w="888" w:type="dxa"/>
          </w:tcPr>
          <w:p>
            <w:pPr>
              <w:snapToGrid w:val="0"/>
              <w:jc w:val="left"/>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94" w:type="dxa"/>
            <w:vAlign w:val="center"/>
          </w:tcPr>
          <w:p>
            <w:pPr>
              <w:snapToGrid w:val="0"/>
              <w:jc w:val="center"/>
              <w:rPr>
                <w:kern w:val="2"/>
                <w:sz w:val="24"/>
                <w:szCs w:val="24"/>
              </w:rPr>
            </w:pPr>
            <w:r>
              <w:rPr>
                <w:rFonts w:hint="eastAsia"/>
                <w:kern w:val="2"/>
                <w:sz w:val="24"/>
                <w:szCs w:val="24"/>
              </w:rPr>
              <w:t>5</w:t>
            </w:r>
          </w:p>
        </w:tc>
        <w:tc>
          <w:tcPr>
            <w:tcW w:w="7150" w:type="dxa"/>
          </w:tcPr>
          <w:p>
            <w:pPr>
              <w:snapToGrid w:val="0"/>
              <w:jc w:val="left"/>
              <w:rPr>
                <w:kern w:val="2"/>
                <w:sz w:val="24"/>
                <w:szCs w:val="24"/>
              </w:rPr>
            </w:pPr>
            <w:r>
              <w:rPr>
                <w:rFonts w:hint="eastAsia"/>
                <w:kern w:val="2"/>
                <w:sz w:val="24"/>
                <w:szCs w:val="24"/>
              </w:rPr>
              <w:t>技术规范要求响应情况（是指招标文件的关键性和重要要求、条款、条件、规定，项目实施质量效果和服务保障的重大偏离或例外）</w:t>
            </w:r>
          </w:p>
        </w:tc>
        <w:tc>
          <w:tcPr>
            <w:tcW w:w="888" w:type="dxa"/>
          </w:tcPr>
          <w:p>
            <w:pPr>
              <w:snapToGrid w:val="0"/>
              <w:ind w:right="-129" w:rightChars="-46"/>
              <w:jc w:val="left"/>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94" w:type="dxa"/>
          </w:tcPr>
          <w:p>
            <w:pPr>
              <w:snapToGrid w:val="0"/>
              <w:jc w:val="center"/>
              <w:rPr>
                <w:kern w:val="2"/>
                <w:sz w:val="24"/>
                <w:szCs w:val="24"/>
              </w:rPr>
            </w:pPr>
            <w:r>
              <w:rPr>
                <w:rFonts w:hint="eastAsia"/>
                <w:kern w:val="2"/>
                <w:sz w:val="24"/>
                <w:szCs w:val="24"/>
              </w:rPr>
              <w:t>6</w:t>
            </w:r>
          </w:p>
        </w:tc>
        <w:tc>
          <w:tcPr>
            <w:tcW w:w="7150" w:type="dxa"/>
          </w:tcPr>
          <w:p>
            <w:pPr>
              <w:snapToGrid w:val="0"/>
              <w:jc w:val="left"/>
              <w:rPr>
                <w:kern w:val="2"/>
                <w:sz w:val="24"/>
                <w:szCs w:val="24"/>
              </w:rPr>
            </w:pPr>
            <w:r>
              <w:rPr>
                <w:rFonts w:hint="eastAsia"/>
                <w:kern w:val="2"/>
                <w:sz w:val="24"/>
                <w:szCs w:val="24"/>
              </w:rPr>
              <w:t>政府采购政策（若有的话）</w:t>
            </w:r>
          </w:p>
        </w:tc>
        <w:tc>
          <w:tcPr>
            <w:tcW w:w="888" w:type="dxa"/>
          </w:tcPr>
          <w:p>
            <w:pPr>
              <w:adjustRightInd w:val="0"/>
              <w:snapToGrid w:val="0"/>
              <w:ind w:right="-361" w:rightChars="-129"/>
              <w:jc w:val="left"/>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4" w:type="dxa"/>
          </w:tcPr>
          <w:p>
            <w:pPr>
              <w:snapToGrid w:val="0"/>
              <w:jc w:val="center"/>
              <w:rPr>
                <w:kern w:val="2"/>
                <w:sz w:val="24"/>
                <w:szCs w:val="24"/>
              </w:rPr>
            </w:pPr>
          </w:p>
          <w:p>
            <w:pPr>
              <w:snapToGrid w:val="0"/>
              <w:jc w:val="center"/>
              <w:rPr>
                <w:kern w:val="2"/>
                <w:sz w:val="24"/>
                <w:szCs w:val="24"/>
              </w:rPr>
            </w:pPr>
            <w:r>
              <w:rPr>
                <w:rFonts w:hint="eastAsia"/>
                <w:kern w:val="2"/>
                <w:sz w:val="24"/>
                <w:szCs w:val="24"/>
              </w:rPr>
              <w:t>7</w:t>
            </w:r>
          </w:p>
        </w:tc>
        <w:tc>
          <w:tcPr>
            <w:tcW w:w="7150" w:type="dxa"/>
          </w:tcPr>
          <w:p>
            <w:pPr>
              <w:snapToGrid w:val="0"/>
              <w:jc w:val="left"/>
              <w:rPr>
                <w:kern w:val="2"/>
                <w:sz w:val="24"/>
                <w:szCs w:val="24"/>
              </w:rPr>
            </w:pPr>
            <w:r>
              <w:rPr>
                <w:rFonts w:hint="eastAsia"/>
                <w:kern w:val="2"/>
                <w:sz w:val="24"/>
                <w:szCs w:val="24"/>
              </w:rPr>
              <w:t>单位负责人为同一人或者存在直接控股、管理关系的不同投标人，不得参加同一合同项下的政府采购活动</w:t>
            </w:r>
          </w:p>
        </w:tc>
        <w:tc>
          <w:tcPr>
            <w:tcW w:w="888" w:type="dxa"/>
          </w:tcPr>
          <w:p>
            <w:pPr>
              <w:snapToGrid w:val="0"/>
              <w:jc w:val="left"/>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94" w:type="dxa"/>
          </w:tcPr>
          <w:p>
            <w:pPr>
              <w:snapToGrid w:val="0"/>
              <w:jc w:val="center"/>
              <w:rPr>
                <w:kern w:val="2"/>
                <w:sz w:val="24"/>
                <w:szCs w:val="24"/>
              </w:rPr>
            </w:pPr>
            <w:r>
              <w:rPr>
                <w:rFonts w:hint="eastAsia"/>
                <w:kern w:val="2"/>
                <w:sz w:val="24"/>
                <w:szCs w:val="24"/>
              </w:rPr>
              <w:t>8</w:t>
            </w:r>
          </w:p>
        </w:tc>
        <w:tc>
          <w:tcPr>
            <w:tcW w:w="7150" w:type="dxa"/>
          </w:tcPr>
          <w:p>
            <w:pPr>
              <w:snapToGrid w:val="0"/>
              <w:jc w:val="left"/>
              <w:rPr>
                <w:kern w:val="2"/>
                <w:sz w:val="24"/>
                <w:szCs w:val="24"/>
              </w:rPr>
            </w:pPr>
            <w:r>
              <w:rPr>
                <w:rFonts w:hint="eastAsia"/>
                <w:kern w:val="2"/>
                <w:sz w:val="24"/>
                <w:szCs w:val="24"/>
              </w:rPr>
              <w:t>其他事项</w:t>
            </w:r>
          </w:p>
        </w:tc>
        <w:tc>
          <w:tcPr>
            <w:tcW w:w="888" w:type="dxa"/>
          </w:tcPr>
          <w:p>
            <w:pPr>
              <w:snapToGrid w:val="0"/>
              <w:jc w:val="left"/>
              <w:rPr>
                <w:kern w:val="2"/>
                <w:sz w:val="24"/>
                <w:szCs w:val="24"/>
              </w:rPr>
            </w:pPr>
          </w:p>
        </w:tc>
      </w:tr>
    </w:tbl>
    <w:p>
      <w:pPr>
        <w:ind w:firstLine="480" w:firstLineChars="200"/>
        <w:rPr>
          <w:rFonts w:ascii="楷体_GB2312" w:eastAsia="楷体_GB2312" w:cs="宋体"/>
          <w:b/>
          <w:bCs/>
          <w:sz w:val="24"/>
          <w:szCs w:val="24"/>
        </w:rPr>
      </w:pPr>
      <w:r>
        <w:rPr>
          <w:rFonts w:hint="eastAsia"/>
          <w:sz w:val="24"/>
          <w:szCs w:val="24"/>
        </w:rPr>
        <w:t>注：招标文件中提供格式的必须按照提供的格式填写，否则为无效投标文件。</w:t>
      </w:r>
      <w:r>
        <w:rPr>
          <w:rFonts w:hint="eastAsia" w:ascii="楷体_GB2312" w:eastAsia="楷体_GB2312" w:cs="宋体"/>
          <w:b/>
          <w:bCs/>
          <w:sz w:val="24"/>
          <w:szCs w:val="24"/>
        </w:rPr>
        <w:br w:type="page"/>
      </w:r>
    </w:p>
    <w:p>
      <w:pPr>
        <w:snapToGrid w:val="0"/>
        <w:spacing w:line="360" w:lineRule="auto"/>
        <w:ind w:firstLine="482" w:firstLineChars="200"/>
        <w:rPr>
          <w:rFonts w:cs="Arial"/>
          <w:b/>
          <w:bCs/>
          <w:sz w:val="24"/>
        </w:rPr>
      </w:pPr>
      <w:r>
        <w:rPr>
          <w:rFonts w:hint="eastAsia" w:cs="Arial"/>
          <w:b/>
          <w:bCs/>
          <w:sz w:val="24"/>
        </w:rPr>
        <w:t>附件三                         采购政策执行</w:t>
      </w:r>
      <w:r>
        <w:rPr>
          <w:rFonts w:cs="Arial"/>
          <w:b/>
          <w:bCs/>
          <w:sz w:val="24"/>
        </w:rPr>
        <w:t xml:space="preserve"> </w:t>
      </w:r>
    </w:p>
    <w:p>
      <w:pPr>
        <w:snapToGrid w:val="0"/>
        <w:spacing w:line="360" w:lineRule="auto"/>
        <w:ind w:firstLine="482" w:firstLineChars="200"/>
        <w:rPr>
          <w:rFonts w:cs="Arial"/>
          <w:b/>
          <w:bCs/>
          <w:sz w:val="24"/>
        </w:rPr>
      </w:pPr>
      <w:r>
        <w:rPr>
          <w:rFonts w:hint="eastAsia" w:cs="Arial"/>
          <w:b/>
          <w:bCs/>
          <w:sz w:val="24"/>
        </w:rPr>
        <w:t>本次招标中涉及到的采购政策按照以下要求执行，并按照国家采购政策规定提供相应的证据、证明或声明，否则视为不享受采购政策条件。未涉及采购政策的不需要提供。</w:t>
      </w:r>
    </w:p>
    <w:p>
      <w:pPr>
        <w:snapToGrid w:val="0"/>
        <w:spacing w:line="360" w:lineRule="auto"/>
        <w:ind w:firstLine="480" w:firstLineChars="200"/>
        <w:rPr>
          <w:rFonts w:cs="Arial"/>
          <w:sz w:val="24"/>
        </w:rPr>
      </w:pPr>
      <w:r>
        <w:rPr>
          <w:rFonts w:hint="eastAsia" w:cs="Arial"/>
          <w:sz w:val="24"/>
        </w:rPr>
        <w:t>1、根据《政府采购促进中小企业发展暂行办法》的规定，经与采购人协商确定，对小型、微型企业的产品价格给予6％的扣除，用扣除后的价格参与评审。</w:t>
      </w:r>
    </w:p>
    <w:p>
      <w:pPr>
        <w:snapToGrid w:val="0"/>
        <w:spacing w:line="360" w:lineRule="auto"/>
        <w:ind w:firstLine="480" w:firstLineChars="200"/>
        <w:rPr>
          <w:rFonts w:cs="Arial"/>
          <w:sz w:val="24"/>
        </w:rPr>
      </w:pPr>
      <w:r>
        <w:rPr>
          <w:rFonts w:hint="eastAsia" w:cs="宋体"/>
          <w:sz w:val="24"/>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w:t>
      </w:r>
      <w:r>
        <w:rPr>
          <w:rFonts w:hint="eastAsia" w:cs="宋体"/>
          <w:sz w:val="24"/>
        </w:rPr>
        <w:br w:type="textWrapping"/>
      </w:r>
      <w:r>
        <w:rPr>
          <w:rFonts w:hint="eastAsia" w:cs="宋体"/>
          <w:sz w:val="24"/>
        </w:rPr>
        <w:t>　　联合体各方均为小型、微型企业的，联合体视同为小型、微型企业享受《政府采购促进中小企业发展暂行办法》第四条、第五条规定的扶持政策。</w:t>
      </w:r>
      <w:r>
        <w:rPr>
          <w:rFonts w:hint="eastAsia" w:cs="宋体"/>
          <w:sz w:val="24"/>
        </w:rPr>
        <w:br w:type="textWrapping"/>
      </w:r>
      <w:r>
        <w:rPr>
          <w:rFonts w:hint="eastAsia" w:cs="宋体"/>
          <w:sz w:val="24"/>
        </w:rPr>
        <w:t>　　组成联合体的大中型企业和其他自然人、法人或者其他组织，与小型、微型企业之间不得存在投资关系。</w:t>
      </w:r>
    </w:p>
    <w:p>
      <w:pPr>
        <w:snapToGrid w:val="0"/>
        <w:spacing w:line="360" w:lineRule="auto"/>
        <w:ind w:firstLine="480" w:firstLineChars="200"/>
        <w:rPr>
          <w:rFonts w:cs="Arial"/>
          <w:sz w:val="24"/>
        </w:rPr>
      </w:pPr>
      <w:r>
        <w:rPr>
          <w:rFonts w:hint="eastAsia" w:cs="Arial"/>
          <w:sz w:val="24"/>
        </w:rPr>
        <w:t>2、根据《财政部、司法部关于政府采购支持监狱企业发展有关问题的通知》的规定，经与采购人协商确定，对监狱企业的产品价格给予6％的扣除，用扣除后的价格参与评审。</w:t>
      </w:r>
    </w:p>
    <w:p>
      <w:pPr>
        <w:snapToGrid w:val="0"/>
        <w:spacing w:line="360" w:lineRule="auto"/>
        <w:ind w:firstLine="480" w:firstLineChars="200"/>
        <w:rPr>
          <w:sz w:val="24"/>
        </w:rPr>
      </w:pPr>
      <w:r>
        <w:rPr>
          <w:rFonts w:hint="eastAsia"/>
          <w:sz w:val="24"/>
        </w:rPr>
        <w:t>3、根据《关于促进残疾人就业政府采购政策的通知》的规定，</w:t>
      </w:r>
      <w:r>
        <w:rPr>
          <w:rFonts w:hint="eastAsia" w:cs="宋体"/>
          <w:sz w:val="24"/>
        </w:rPr>
        <w:t>残疾人福利性单位视同小型、微型企业，</w:t>
      </w:r>
      <w:r>
        <w:rPr>
          <w:rFonts w:hint="eastAsia"/>
          <w:sz w:val="24"/>
        </w:rPr>
        <w:t>给予6％的扣除，用扣除后的价格参与评审。</w:t>
      </w:r>
    </w:p>
    <w:p>
      <w:pPr>
        <w:snapToGrid w:val="0"/>
        <w:spacing w:line="360" w:lineRule="auto"/>
        <w:ind w:firstLine="480" w:firstLineChars="200"/>
        <w:rPr>
          <w:sz w:val="24"/>
        </w:rPr>
      </w:pPr>
      <w:r>
        <w:rPr>
          <w:rFonts w:hint="eastAsia"/>
          <w:sz w:val="24"/>
        </w:rPr>
        <w:t>4、节能环保产品采购</w:t>
      </w:r>
    </w:p>
    <w:p>
      <w:pPr>
        <w:snapToGrid w:val="0"/>
        <w:spacing w:line="360" w:lineRule="auto"/>
        <w:ind w:firstLine="480" w:firstLineChars="200"/>
        <w:rPr>
          <w:sz w:val="24"/>
        </w:rPr>
      </w:pPr>
      <w:r>
        <w:rPr>
          <w:rFonts w:hint="eastAsia"/>
          <w:sz w:val="24"/>
        </w:rPr>
        <w:t>执行“关于调整优化节能产品、环境标志产品政府采购执行机制的通知-财库〔2019〕9号”</w:t>
      </w:r>
    </w:p>
    <w:p>
      <w:pPr>
        <w:snapToGrid w:val="0"/>
        <w:spacing w:line="360" w:lineRule="auto"/>
        <w:ind w:firstLine="480" w:firstLineChars="200"/>
        <w:rPr>
          <w:sz w:val="24"/>
        </w:rPr>
      </w:pPr>
      <w:r>
        <w:rPr>
          <w:rFonts w:hint="eastAsia"/>
          <w:sz w:val="24"/>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在同质同价情况下优先采购节能环保产品。</w:t>
      </w:r>
    </w:p>
    <w:p>
      <w:pPr>
        <w:snapToGrid w:val="0"/>
        <w:spacing w:line="360" w:lineRule="auto"/>
        <w:ind w:firstLine="480" w:firstLineChars="200"/>
        <w:rPr>
          <w:sz w:val="24"/>
        </w:rPr>
      </w:pPr>
      <w:r>
        <w:rPr>
          <w:rFonts w:hint="eastAsia"/>
          <w:sz w:val="24"/>
        </w:rPr>
        <w:t>查询网址为：中国政府采购网（http://www.ccgp.gov.cn）</w:t>
      </w:r>
    </w:p>
    <w:p>
      <w:pPr>
        <w:snapToGrid w:val="0"/>
        <w:spacing w:line="360" w:lineRule="auto"/>
        <w:ind w:firstLine="480" w:firstLineChars="200"/>
        <w:rPr>
          <w:sz w:val="24"/>
        </w:rPr>
      </w:pPr>
      <w:r>
        <w:rPr>
          <w:rFonts w:hint="eastAsia"/>
          <w:sz w:val="24"/>
        </w:rPr>
        <w:br w:type="page"/>
      </w:r>
    </w:p>
    <w:p>
      <w:pPr>
        <w:adjustRightInd w:val="0"/>
        <w:snapToGrid w:val="0"/>
        <w:spacing w:line="360" w:lineRule="auto"/>
        <w:ind w:firstLine="482" w:firstLineChars="200"/>
        <w:rPr>
          <w:b/>
          <w:bCs/>
          <w:sz w:val="24"/>
        </w:rPr>
      </w:pPr>
      <w:r>
        <w:rPr>
          <w:rFonts w:hint="eastAsia"/>
          <w:b/>
          <w:bCs/>
          <w:sz w:val="24"/>
        </w:rPr>
        <w:t>附件四                          相关规定</w:t>
      </w:r>
    </w:p>
    <w:p>
      <w:pPr>
        <w:adjustRightInd w:val="0"/>
        <w:snapToGrid w:val="0"/>
        <w:spacing w:line="360" w:lineRule="auto"/>
        <w:ind w:firstLine="480" w:firstLineChars="200"/>
        <w:rPr>
          <w:sz w:val="24"/>
        </w:rPr>
      </w:pPr>
      <w:r>
        <w:rPr>
          <w:rFonts w:hint="eastAsia"/>
          <w:sz w:val="24"/>
        </w:rPr>
        <w:t>1.该项目【非】专门面向中小企业或小型、微型企业采购。</w:t>
      </w:r>
    </w:p>
    <w:p>
      <w:pPr>
        <w:adjustRightInd w:val="0"/>
        <w:snapToGrid w:val="0"/>
        <w:spacing w:line="360" w:lineRule="auto"/>
        <w:ind w:firstLine="480" w:firstLineChars="200"/>
        <w:rPr>
          <w:sz w:val="24"/>
        </w:rPr>
      </w:pPr>
      <w:r>
        <w:rPr>
          <w:rFonts w:hint="eastAsia"/>
          <w:sz w:val="24"/>
        </w:rPr>
        <w:t>2.单位负责人为同一人或者存在直接控股、管理关系的不同投标人，不得参加同一合同项下的政府采购活动。</w:t>
      </w:r>
    </w:p>
    <w:p>
      <w:pPr>
        <w:adjustRightInd w:val="0"/>
        <w:snapToGrid w:val="0"/>
        <w:spacing w:line="360" w:lineRule="auto"/>
        <w:ind w:firstLine="480" w:firstLineChars="200"/>
        <w:rPr>
          <w:sz w:val="24"/>
        </w:rPr>
      </w:pPr>
      <w:r>
        <w:rPr>
          <w:rFonts w:hint="eastAsia"/>
          <w:sz w:val="24"/>
        </w:rPr>
        <w:t>3.本项目【不】接受联合体参与（注：联合体是指两个以上的自然人、法人或者其他组织可以组成一个联合体，以一个投标人的身份共同参加政府采购。以联合体形式进行政府采购的，参加联合体的投标人均应当具备采购法第二十二条规定的条件，并应当向采购人提交联合协议，载明联合体各方承担的工作和义务。联合体各方应当共同与采购人签订采购合同，就采购合同约定的事项对采购人承担连带责任。以联合体形式参加政府采购的，联合体各方不得再单独参加或者与其他投标人另外组成联合体参加同一合同项下的政府采购活动）。联合体投标的应当由联合体代表下载招标文件。</w:t>
      </w:r>
    </w:p>
    <w:p>
      <w:pPr>
        <w:adjustRightInd w:val="0"/>
        <w:snapToGrid w:val="0"/>
        <w:spacing w:line="360" w:lineRule="auto"/>
        <w:ind w:firstLine="480" w:firstLineChars="200"/>
        <w:rPr>
          <w:sz w:val="24"/>
        </w:rPr>
      </w:pPr>
      <w:r>
        <w:rPr>
          <w:rFonts w:hint="eastAsia"/>
          <w:sz w:val="24"/>
        </w:rPr>
        <w:t>4.参加投标时必须为未被列入“信用中国”网站(www.creditchina.gov.cn)、中国政府采购网(www.ccgp.gov.cn)、中国执行信息公开网（</w:t>
      </w:r>
      <w:r>
        <w:rPr>
          <w:sz w:val="24"/>
        </w:rPr>
        <w:t>htpp://zxgk.court.gov.cn/）</w:t>
      </w:r>
      <w:r>
        <w:rPr>
          <w:rFonts w:hint="eastAsia"/>
          <w:sz w:val="24"/>
        </w:rPr>
        <w:t>等渠道查询信用记录失信被执行人、重大税收违法案件当事人名单、政府采购严重违法失信行为记录名单的投标人。</w:t>
      </w:r>
    </w:p>
    <w:p>
      <w:pPr>
        <w:adjustRightInd w:val="0"/>
        <w:snapToGrid w:val="0"/>
        <w:spacing w:line="360" w:lineRule="auto"/>
        <w:ind w:firstLine="480" w:firstLineChars="200"/>
        <w:rPr>
          <w:sz w:val="24"/>
        </w:rPr>
      </w:pPr>
      <w:r>
        <w:rPr>
          <w:rFonts w:hint="eastAsia"/>
          <w:sz w:val="24"/>
        </w:rPr>
        <w:t>5.为采购项目提供整体设计、规范编制或者项目管理、监理、检测等服务的投标人，不得参加本采购项目。投标人为采购人、政府采购中心在确定采购需求、编制招标文件过程中提供咨询论证，其提供的咨询论证意见成为招标文件中规定的投标人资格条件、技术服务商务要求、评审因素和标准、政府采购合同等实质性内容条款的，视同为采购项目提供规范编制。</w:t>
      </w:r>
    </w:p>
    <w:p>
      <w:pPr>
        <w:adjustRightInd w:val="0"/>
        <w:snapToGrid w:val="0"/>
        <w:spacing w:line="360" w:lineRule="auto"/>
        <w:ind w:firstLine="480" w:firstLineChars="200"/>
        <w:rPr>
          <w:sz w:val="24"/>
        </w:rPr>
      </w:pPr>
      <w:r>
        <w:rPr>
          <w:rFonts w:hint="eastAsia"/>
          <w:sz w:val="24"/>
        </w:rPr>
        <w:t>6.同品牌投标说明</w:t>
      </w:r>
    </w:p>
    <w:p>
      <w:pPr>
        <w:adjustRightInd w:val="0"/>
        <w:snapToGrid w:val="0"/>
        <w:spacing w:line="360" w:lineRule="auto"/>
        <w:ind w:firstLine="480" w:firstLineChars="200"/>
        <w:rPr>
          <w:sz w:val="24"/>
        </w:rPr>
      </w:pPr>
      <w:r>
        <w:rPr>
          <w:rFonts w:hint="eastAsia"/>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360" w:lineRule="auto"/>
        <w:ind w:firstLine="480" w:firstLineChars="200"/>
        <w:rPr>
          <w:sz w:val="24"/>
        </w:rPr>
      </w:pPr>
      <w:r>
        <w:rPr>
          <w:rFonts w:hint="eastAsia"/>
          <w:sz w:val="24"/>
        </w:rPr>
        <w:t>非单一产品采购项目，采购人应当根据采购项目技术构成、产品价格比重等合理确定核心产品，并在招标文件中载明。多家投标人提供的核心产品品牌相同的，按上述规定处理。</w:t>
      </w:r>
    </w:p>
    <w:p>
      <w:pPr>
        <w:adjustRightInd w:val="0"/>
        <w:snapToGrid w:val="0"/>
        <w:spacing w:line="360" w:lineRule="auto"/>
        <w:ind w:firstLine="480" w:firstLineChars="200"/>
        <w:rPr>
          <w:sz w:val="24"/>
        </w:rPr>
      </w:pPr>
      <w:r>
        <w:rPr>
          <w:rFonts w:hint="eastAsia"/>
          <w:sz w:val="24"/>
        </w:rPr>
        <w:t>7.评标委员会不向未中标人解释未中标原因，不退还投标文件。</w:t>
      </w:r>
    </w:p>
    <w:p>
      <w:pPr>
        <w:adjustRightInd w:val="0"/>
        <w:snapToGrid w:val="0"/>
        <w:spacing w:line="360" w:lineRule="auto"/>
        <w:ind w:firstLine="482" w:firstLineChars="200"/>
        <w:rPr>
          <w:b/>
          <w:bCs/>
          <w:sz w:val="24"/>
        </w:rPr>
      </w:pPr>
      <w:r>
        <w:rPr>
          <w:rFonts w:hint="eastAsia"/>
          <w:b/>
          <w:bCs/>
          <w:sz w:val="24"/>
        </w:rPr>
        <w:br w:type="page"/>
      </w:r>
    </w:p>
    <w:p>
      <w:pPr>
        <w:adjustRightInd w:val="0"/>
        <w:snapToGrid w:val="0"/>
        <w:spacing w:line="360" w:lineRule="auto"/>
        <w:ind w:firstLine="482" w:firstLineChars="200"/>
        <w:rPr>
          <w:b/>
          <w:snapToGrid w:val="0"/>
          <w:sz w:val="24"/>
        </w:rPr>
      </w:pPr>
      <w:r>
        <w:rPr>
          <w:rFonts w:hint="eastAsia"/>
          <w:b/>
          <w:bCs/>
          <w:sz w:val="24"/>
        </w:rPr>
        <w:t xml:space="preserve">附件五    </w:t>
      </w:r>
      <w:r>
        <w:rPr>
          <w:rFonts w:hint="eastAsia"/>
          <w:sz w:val="24"/>
        </w:rPr>
        <w:t xml:space="preserve">                       </w:t>
      </w:r>
      <w:r>
        <w:rPr>
          <w:rFonts w:hint="eastAsia"/>
          <w:b/>
          <w:snapToGrid w:val="0"/>
          <w:sz w:val="24"/>
        </w:rPr>
        <w:t>有关名词解释</w:t>
      </w:r>
    </w:p>
    <w:p>
      <w:pPr>
        <w:adjustRightInd w:val="0"/>
        <w:snapToGrid w:val="0"/>
        <w:spacing w:line="360" w:lineRule="auto"/>
        <w:ind w:firstLine="480" w:firstLineChars="200"/>
        <w:rPr>
          <w:snapToGrid w:val="0"/>
          <w:sz w:val="24"/>
        </w:rPr>
      </w:pPr>
      <w:r>
        <w:rPr>
          <w:rFonts w:hint="eastAsia"/>
          <w:snapToGrid w:val="0"/>
          <w:sz w:val="24"/>
        </w:rPr>
        <w:t>1.“采购人”系是指依法进行政府采购的国家机关、事业单位、团体组织。本次招标采购人详见邀请函。</w:t>
      </w:r>
    </w:p>
    <w:p>
      <w:pPr>
        <w:adjustRightInd w:val="0"/>
        <w:snapToGrid w:val="0"/>
        <w:spacing w:line="360" w:lineRule="auto"/>
        <w:ind w:firstLine="480" w:firstLineChars="200"/>
        <w:rPr>
          <w:snapToGrid w:val="0"/>
          <w:sz w:val="24"/>
        </w:rPr>
      </w:pPr>
      <w:r>
        <w:rPr>
          <w:snapToGrid w:val="0"/>
          <w:sz w:val="24"/>
        </w:rPr>
        <w:t>2</w:t>
      </w:r>
      <w:r>
        <w:rPr>
          <w:rFonts w:hint="eastAsia"/>
          <w:snapToGrid w:val="0"/>
          <w:sz w:val="24"/>
        </w:rPr>
        <w:t>.</w:t>
      </w:r>
      <w:r>
        <w:rPr>
          <w:rFonts w:hint="eastAsia"/>
          <w:sz w:val="24"/>
          <w:szCs w:val="24"/>
        </w:rPr>
        <w:t>“投标人”是指响应招标、参加投标竞争的法人、其他组织或者自然人。</w:t>
      </w:r>
    </w:p>
    <w:p>
      <w:pPr>
        <w:adjustRightInd w:val="0"/>
        <w:snapToGrid w:val="0"/>
        <w:spacing w:line="360" w:lineRule="auto"/>
        <w:ind w:firstLine="480" w:firstLineChars="200"/>
        <w:rPr>
          <w:snapToGrid w:val="0"/>
          <w:sz w:val="24"/>
        </w:rPr>
      </w:pPr>
      <w:r>
        <w:rPr>
          <w:snapToGrid w:val="0"/>
          <w:sz w:val="24"/>
        </w:rPr>
        <w:t>3</w:t>
      </w:r>
      <w:r>
        <w:rPr>
          <w:rFonts w:hint="eastAsia"/>
          <w:snapToGrid w:val="0"/>
          <w:sz w:val="24"/>
        </w:rPr>
        <w:t>.“投标</w:t>
      </w:r>
      <w:r>
        <w:rPr>
          <w:rFonts w:hint="eastAsia"/>
          <w:sz w:val="24"/>
        </w:rPr>
        <w:t>文件</w:t>
      </w:r>
      <w:r>
        <w:rPr>
          <w:rFonts w:hint="eastAsia"/>
          <w:snapToGrid w:val="0"/>
          <w:sz w:val="24"/>
        </w:rPr>
        <w:t>”</w:t>
      </w:r>
      <w:r>
        <w:rPr>
          <w:snapToGrid w:val="0"/>
          <w:sz w:val="24"/>
        </w:rPr>
        <w:t xml:space="preserve"> </w:t>
      </w:r>
      <w:r>
        <w:rPr>
          <w:rFonts w:hint="eastAsia"/>
          <w:snapToGrid w:val="0"/>
          <w:sz w:val="24"/>
        </w:rPr>
        <w:t>系指</w:t>
      </w:r>
      <w:r>
        <w:rPr>
          <w:rFonts w:hint="eastAsia"/>
          <w:sz w:val="24"/>
        </w:rPr>
        <w:t>对招标文件提出的要求和条件作出实质性响应而编制的文件</w:t>
      </w:r>
      <w:r>
        <w:rPr>
          <w:rFonts w:hint="eastAsia"/>
          <w:snapToGrid w:val="0"/>
          <w:sz w:val="24"/>
        </w:rPr>
        <w:t>。</w:t>
      </w:r>
    </w:p>
    <w:p>
      <w:pPr>
        <w:adjustRightInd w:val="0"/>
        <w:snapToGrid w:val="0"/>
        <w:spacing w:line="360" w:lineRule="auto"/>
        <w:ind w:firstLine="475" w:firstLineChars="198"/>
        <w:rPr>
          <w:snapToGrid w:val="0"/>
          <w:sz w:val="24"/>
        </w:rPr>
      </w:pPr>
      <w:r>
        <w:rPr>
          <w:rFonts w:hint="eastAsia"/>
          <w:snapToGrid w:val="0"/>
          <w:sz w:val="24"/>
        </w:rPr>
        <w:t>4.“评标委员会”</w:t>
      </w:r>
      <w:r>
        <w:rPr>
          <w:snapToGrid w:val="0"/>
          <w:sz w:val="24"/>
        </w:rPr>
        <w:t xml:space="preserve"> </w:t>
      </w:r>
      <w:r>
        <w:rPr>
          <w:rFonts w:hint="eastAsia"/>
          <w:snapToGrid w:val="0"/>
          <w:sz w:val="24"/>
        </w:rPr>
        <w:t>系由有关专家组成的确定（预）中标人的组织。</w:t>
      </w:r>
    </w:p>
    <w:p>
      <w:pPr>
        <w:adjustRightInd w:val="0"/>
        <w:snapToGrid w:val="0"/>
        <w:spacing w:line="360" w:lineRule="auto"/>
        <w:ind w:firstLine="475" w:firstLineChars="198"/>
        <w:rPr>
          <w:snapToGrid w:val="0"/>
          <w:sz w:val="24"/>
        </w:rPr>
      </w:pPr>
      <w:r>
        <w:rPr>
          <w:rFonts w:hint="eastAsia"/>
          <w:snapToGrid w:val="0"/>
          <w:sz w:val="24"/>
        </w:rPr>
        <w:t>5.“包”系指招标文件中“采购项目技术、服务、安全要求”中按A、B、C┅┅序号界定的可单独响应的项目。如项目分包，投标人必须以包为单位，制作投标文件，分别密封单独递交。</w:t>
      </w:r>
    </w:p>
    <w:p>
      <w:pPr>
        <w:tabs>
          <w:tab w:val="left" w:pos="540"/>
        </w:tabs>
        <w:adjustRightInd w:val="0"/>
        <w:snapToGrid w:val="0"/>
        <w:spacing w:line="360" w:lineRule="auto"/>
        <w:ind w:firstLine="480" w:firstLineChars="200"/>
        <w:rPr>
          <w:sz w:val="24"/>
          <w:lang w:val="en-GB"/>
        </w:rPr>
      </w:pPr>
      <w:r>
        <w:rPr>
          <w:rFonts w:hint="eastAsia"/>
          <w:snapToGrid w:val="0"/>
          <w:sz w:val="24"/>
        </w:rPr>
        <w:t>6.“进口产品”是指通过中国海关报关验放进入中国境内的产品。</w:t>
      </w:r>
    </w:p>
    <w:p>
      <w:pPr>
        <w:adjustRightInd w:val="0"/>
        <w:snapToGrid w:val="0"/>
        <w:spacing w:line="360" w:lineRule="auto"/>
        <w:ind w:firstLine="475" w:firstLineChars="198"/>
        <w:rPr>
          <w:snapToGrid w:val="0"/>
          <w:sz w:val="24"/>
          <w:lang w:val="en-GB"/>
        </w:rPr>
      </w:pPr>
      <w:r>
        <w:rPr>
          <w:rFonts w:hint="eastAsia"/>
          <w:snapToGrid w:val="0"/>
          <w:sz w:val="24"/>
        </w:rPr>
        <w:t>7.“</w:t>
      </w:r>
      <w:r>
        <w:rPr>
          <w:rFonts w:hint="eastAsia"/>
          <w:snapToGrid w:val="0"/>
          <w:sz w:val="24"/>
          <w:lang w:val="en-GB"/>
        </w:rPr>
        <w:t>实质性响应</w:t>
      </w:r>
      <w:r>
        <w:rPr>
          <w:rFonts w:hint="eastAsia"/>
          <w:snapToGrid w:val="0"/>
          <w:sz w:val="24"/>
        </w:rPr>
        <w:t>”</w:t>
      </w:r>
      <w:r>
        <w:rPr>
          <w:rFonts w:hint="eastAsia"/>
          <w:snapToGrid w:val="0"/>
          <w:sz w:val="24"/>
          <w:lang w:val="en-GB"/>
        </w:rPr>
        <w:t>是指投标文件的有效性、完整性和对采购文件的响应程度等方面及“★”号条款为实质性条款。</w:t>
      </w:r>
    </w:p>
    <w:p>
      <w:pPr>
        <w:adjustRightInd w:val="0"/>
        <w:snapToGrid w:val="0"/>
        <w:spacing w:line="360" w:lineRule="auto"/>
        <w:ind w:firstLine="475" w:firstLineChars="198"/>
        <w:rPr>
          <w:snapToGrid w:val="0"/>
          <w:sz w:val="24"/>
          <w:lang w:val="en-GB"/>
        </w:rPr>
      </w:pPr>
      <w:r>
        <w:rPr>
          <w:rFonts w:hint="eastAsia"/>
          <w:snapToGrid w:val="0"/>
          <w:sz w:val="24"/>
        </w:rPr>
        <w:t>8.“电子</w:t>
      </w:r>
      <w:r>
        <w:rPr>
          <w:rFonts w:hint="eastAsia"/>
          <w:snapToGrid w:val="0"/>
          <w:sz w:val="24"/>
          <w:lang w:val="en-GB"/>
        </w:rPr>
        <w:t>签名和</w:t>
      </w:r>
      <w:r>
        <w:rPr>
          <w:rFonts w:hint="eastAsia"/>
          <w:snapToGrid w:val="0"/>
          <w:sz w:val="24"/>
        </w:rPr>
        <w:t>电子</w:t>
      </w:r>
      <w:r>
        <w:rPr>
          <w:rFonts w:hint="eastAsia"/>
          <w:snapToGrid w:val="0"/>
          <w:sz w:val="24"/>
          <w:lang w:val="en-GB"/>
        </w:rPr>
        <w:t>签章</w:t>
      </w:r>
      <w:r>
        <w:rPr>
          <w:rFonts w:hint="eastAsia"/>
          <w:snapToGrid w:val="0"/>
          <w:sz w:val="24"/>
        </w:rPr>
        <w:t>”</w:t>
      </w:r>
      <w:r>
        <w:rPr>
          <w:rFonts w:hint="eastAsia"/>
          <w:snapToGrid w:val="0"/>
          <w:sz w:val="24"/>
          <w:lang w:val="en-GB"/>
        </w:rPr>
        <w:t>是指依法设立的电子认证服务机构签发的签名认证证书和签章，投标人应当到上述服务机构设立的办理点办理。</w:t>
      </w:r>
      <w:r>
        <w:rPr>
          <w:rFonts w:hint="eastAsia"/>
          <w:snapToGrid w:val="0"/>
          <w:sz w:val="24"/>
        </w:rPr>
        <w:t>电子</w:t>
      </w:r>
      <w:r>
        <w:rPr>
          <w:rFonts w:hint="eastAsia"/>
          <w:snapToGrid w:val="0"/>
          <w:sz w:val="24"/>
          <w:lang w:val="en-GB"/>
        </w:rPr>
        <w:t>签名及</w:t>
      </w:r>
      <w:r>
        <w:rPr>
          <w:rFonts w:hint="eastAsia"/>
          <w:snapToGrid w:val="0"/>
          <w:sz w:val="24"/>
        </w:rPr>
        <w:t>电子</w:t>
      </w:r>
      <w:r>
        <w:rPr>
          <w:rFonts w:hint="eastAsia"/>
          <w:snapToGrid w:val="0"/>
          <w:sz w:val="24"/>
          <w:lang w:val="en-GB"/>
        </w:rPr>
        <w:t>签章与手写签名或者盖章具有同等的法律效力。</w:t>
      </w:r>
    </w:p>
    <w:p>
      <w:pPr>
        <w:adjustRightInd w:val="0"/>
        <w:snapToGrid w:val="0"/>
        <w:spacing w:line="360" w:lineRule="auto"/>
        <w:ind w:firstLine="475" w:firstLineChars="198"/>
        <w:rPr>
          <w:rFonts w:ascii="Times New Roman" w:hAnsi="Times New Roman"/>
          <w:snapToGrid w:val="0"/>
          <w:kern w:val="2"/>
          <w:sz w:val="24"/>
          <w:szCs w:val="24"/>
          <w:lang w:val="en-GB"/>
        </w:rPr>
      </w:pPr>
      <w:r>
        <w:rPr>
          <w:rFonts w:hint="eastAsia"/>
          <w:snapToGrid w:val="0"/>
          <w:sz w:val="24"/>
        </w:rPr>
        <w:t>9.</w:t>
      </w:r>
      <w:r>
        <w:rPr>
          <w:rFonts w:hint="eastAsia" w:ascii="Times New Roman" w:hAnsi="Times New Roman"/>
          <w:snapToGrid w:val="0"/>
          <w:kern w:val="2"/>
          <w:sz w:val="24"/>
          <w:szCs w:val="24"/>
          <w:lang w:val="en-GB"/>
        </w:rPr>
        <w:t>日期、天数、时间：未有特别说明时，均为公历日（天）及北京时间。</w:t>
      </w:r>
    </w:p>
    <w:p>
      <w:pPr>
        <w:jc w:val="center"/>
        <w:outlineLvl w:val="0"/>
        <w:rPr>
          <w:rFonts w:cs="宋体"/>
          <w:b/>
          <w:sz w:val="24"/>
          <w:szCs w:val="24"/>
        </w:rPr>
      </w:pPr>
      <w:r>
        <w:rPr>
          <w:rFonts w:hint="eastAsia" w:cs="宋体"/>
          <w:b/>
          <w:sz w:val="24"/>
          <w:szCs w:val="24"/>
        </w:rPr>
        <w:br w:type="page"/>
      </w:r>
    </w:p>
    <w:p>
      <w:pPr>
        <w:jc w:val="center"/>
        <w:outlineLvl w:val="0"/>
        <w:rPr>
          <w:rFonts w:cs="宋体"/>
          <w:b/>
          <w:sz w:val="24"/>
          <w:szCs w:val="24"/>
        </w:rPr>
      </w:pPr>
      <w:r>
        <w:rPr>
          <w:rFonts w:hint="eastAsia" w:cs="宋体"/>
          <w:b/>
          <w:sz w:val="24"/>
          <w:szCs w:val="24"/>
        </w:rPr>
        <w:t>评</w:t>
      </w:r>
      <w:r>
        <w:rPr>
          <w:rFonts w:cs="宋体"/>
          <w:b/>
          <w:sz w:val="24"/>
          <w:szCs w:val="24"/>
        </w:rPr>
        <w:t xml:space="preserve">  </w:t>
      </w:r>
      <w:r>
        <w:rPr>
          <w:rFonts w:hint="eastAsia" w:cs="宋体"/>
          <w:b/>
          <w:sz w:val="24"/>
          <w:szCs w:val="24"/>
        </w:rPr>
        <w:t>分</w:t>
      </w:r>
      <w:r>
        <w:rPr>
          <w:rFonts w:cs="宋体"/>
          <w:b/>
          <w:sz w:val="24"/>
          <w:szCs w:val="24"/>
        </w:rPr>
        <w:t xml:space="preserve">  </w:t>
      </w:r>
      <w:r>
        <w:rPr>
          <w:rFonts w:hint="eastAsia" w:cs="宋体"/>
          <w:b/>
          <w:sz w:val="24"/>
          <w:szCs w:val="24"/>
        </w:rPr>
        <w:t>表</w:t>
      </w:r>
    </w:p>
    <w:tbl>
      <w:tblPr>
        <w:tblStyle w:val="20"/>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28"/>
        <w:gridCol w:w="748"/>
        <w:gridCol w:w="1030"/>
        <w:gridCol w:w="5017"/>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80" w:type="dxa"/>
            <w:shd w:val="clear" w:color="auto" w:fill="auto"/>
            <w:vAlign w:val="center"/>
          </w:tcPr>
          <w:p>
            <w:pPr>
              <w:jc w:val="center"/>
              <w:rPr>
                <w:rFonts w:ascii="Calibri" w:hAnsi="Calibri"/>
                <w:kern w:val="2"/>
                <w:sz w:val="21"/>
                <w:szCs w:val="24"/>
              </w:rPr>
            </w:pPr>
            <w:r>
              <w:rPr>
                <w:rFonts w:hint="eastAsia" w:ascii="Calibri" w:hAnsi="Calibri"/>
                <w:kern w:val="2"/>
                <w:sz w:val="21"/>
                <w:szCs w:val="24"/>
              </w:rPr>
              <w:t>序号</w:t>
            </w:r>
          </w:p>
        </w:tc>
        <w:tc>
          <w:tcPr>
            <w:tcW w:w="1428" w:type="dxa"/>
            <w:shd w:val="clear" w:color="auto" w:fill="auto"/>
            <w:vAlign w:val="center"/>
          </w:tcPr>
          <w:p>
            <w:pPr>
              <w:jc w:val="center"/>
              <w:rPr>
                <w:rFonts w:ascii="Calibri" w:hAnsi="Calibri"/>
                <w:kern w:val="2"/>
                <w:sz w:val="21"/>
                <w:szCs w:val="24"/>
              </w:rPr>
            </w:pPr>
            <w:r>
              <w:rPr>
                <w:rFonts w:hint="eastAsia" w:ascii="Calibri" w:hAnsi="Calibri"/>
                <w:kern w:val="2"/>
                <w:sz w:val="21"/>
                <w:szCs w:val="24"/>
              </w:rPr>
              <w:t>评审内容</w:t>
            </w:r>
          </w:p>
        </w:tc>
        <w:tc>
          <w:tcPr>
            <w:tcW w:w="748" w:type="dxa"/>
            <w:shd w:val="clear" w:color="auto" w:fill="auto"/>
            <w:vAlign w:val="center"/>
          </w:tcPr>
          <w:p>
            <w:pPr>
              <w:jc w:val="center"/>
              <w:rPr>
                <w:rFonts w:ascii="Calibri" w:hAnsi="Calibri"/>
                <w:kern w:val="2"/>
                <w:sz w:val="21"/>
                <w:szCs w:val="24"/>
              </w:rPr>
            </w:pPr>
            <w:r>
              <w:rPr>
                <w:rFonts w:hint="eastAsia" w:ascii="Calibri" w:hAnsi="Calibri"/>
                <w:kern w:val="2"/>
                <w:sz w:val="21"/>
                <w:szCs w:val="24"/>
              </w:rPr>
              <w:t>得分</w:t>
            </w:r>
          </w:p>
        </w:tc>
        <w:tc>
          <w:tcPr>
            <w:tcW w:w="1030" w:type="dxa"/>
            <w:shd w:val="clear" w:color="auto" w:fill="auto"/>
            <w:vAlign w:val="center"/>
          </w:tcPr>
          <w:p>
            <w:pPr>
              <w:jc w:val="center"/>
              <w:rPr>
                <w:rFonts w:ascii="Calibri" w:hAnsi="Calibri"/>
                <w:kern w:val="2"/>
                <w:sz w:val="21"/>
                <w:szCs w:val="24"/>
              </w:rPr>
            </w:pPr>
            <w:r>
              <w:rPr>
                <w:rFonts w:hint="eastAsia" w:ascii="Calibri" w:hAnsi="Calibri"/>
                <w:kern w:val="2"/>
                <w:sz w:val="21"/>
                <w:szCs w:val="24"/>
              </w:rPr>
              <w:t>权重</w:t>
            </w:r>
          </w:p>
        </w:tc>
        <w:tc>
          <w:tcPr>
            <w:tcW w:w="5017" w:type="dxa"/>
            <w:shd w:val="clear" w:color="auto" w:fill="auto"/>
            <w:vAlign w:val="center"/>
          </w:tcPr>
          <w:p>
            <w:pPr>
              <w:jc w:val="center"/>
              <w:rPr>
                <w:rFonts w:ascii="Calibri" w:hAnsi="Calibri"/>
                <w:kern w:val="2"/>
                <w:sz w:val="21"/>
                <w:szCs w:val="24"/>
              </w:rPr>
            </w:pPr>
            <w:r>
              <w:rPr>
                <w:rFonts w:hint="eastAsia" w:ascii="Calibri" w:hAnsi="Calibri"/>
                <w:kern w:val="2"/>
                <w:sz w:val="21"/>
                <w:szCs w:val="24"/>
              </w:rPr>
              <w:t>评分标准</w:t>
            </w:r>
          </w:p>
        </w:tc>
        <w:tc>
          <w:tcPr>
            <w:tcW w:w="600" w:type="dxa"/>
            <w:shd w:val="clear" w:color="auto" w:fill="auto"/>
            <w:vAlign w:val="center"/>
          </w:tcPr>
          <w:p>
            <w:pPr>
              <w:jc w:val="center"/>
              <w:rPr>
                <w:rFonts w:ascii="Calibri" w:hAnsi="Calibri"/>
                <w:kern w:val="2"/>
                <w:sz w:val="21"/>
                <w:szCs w:val="24"/>
              </w:rPr>
            </w:pPr>
            <w:r>
              <w:rPr>
                <w:rFonts w:hint="eastAsia" w:ascii="Calibri" w:hAnsi="Calibri"/>
                <w:kern w:val="2"/>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80" w:type="dxa"/>
            <w:shd w:val="clear" w:color="auto" w:fill="auto"/>
            <w:vAlign w:val="center"/>
          </w:tcPr>
          <w:p>
            <w:pPr>
              <w:jc w:val="center"/>
              <w:rPr>
                <w:rFonts w:ascii="Calibri" w:hAnsi="Calibri"/>
                <w:kern w:val="2"/>
                <w:sz w:val="21"/>
                <w:szCs w:val="24"/>
              </w:rPr>
            </w:pPr>
            <w:r>
              <w:rPr>
                <w:rFonts w:hint="eastAsia" w:ascii="Calibri" w:hAnsi="Calibri"/>
                <w:kern w:val="2"/>
                <w:sz w:val="21"/>
                <w:szCs w:val="24"/>
              </w:rPr>
              <w:t>1</w:t>
            </w:r>
          </w:p>
        </w:tc>
        <w:tc>
          <w:tcPr>
            <w:tcW w:w="1428" w:type="dxa"/>
            <w:shd w:val="clear" w:color="auto" w:fill="auto"/>
            <w:vAlign w:val="center"/>
          </w:tcPr>
          <w:p>
            <w:pPr>
              <w:jc w:val="center"/>
              <w:rPr>
                <w:rFonts w:ascii="Calibri" w:hAnsi="Calibri"/>
                <w:kern w:val="2"/>
                <w:sz w:val="21"/>
                <w:szCs w:val="24"/>
              </w:rPr>
            </w:pPr>
            <w:r>
              <w:rPr>
                <w:rFonts w:hint="eastAsia" w:ascii="Calibri" w:hAnsi="Calibri"/>
                <w:kern w:val="2"/>
                <w:sz w:val="21"/>
                <w:szCs w:val="24"/>
              </w:rPr>
              <w:t>企业资质</w:t>
            </w:r>
          </w:p>
        </w:tc>
        <w:tc>
          <w:tcPr>
            <w:tcW w:w="748" w:type="dxa"/>
            <w:shd w:val="clear" w:color="auto" w:fill="auto"/>
            <w:vAlign w:val="center"/>
          </w:tcPr>
          <w:p>
            <w:pPr>
              <w:spacing w:line="320" w:lineRule="exact"/>
              <w:jc w:val="center"/>
              <w:rPr>
                <w:rFonts w:ascii="Calibri" w:hAnsi="Calibri"/>
                <w:kern w:val="2"/>
                <w:sz w:val="21"/>
                <w:szCs w:val="24"/>
              </w:rPr>
            </w:pPr>
            <w:r>
              <w:rPr>
                <w:rFonts w:ascii="Calibri" w:hAnsi="Calibri"/>
                <w:kern w:val="2"/>
                <w:sz w:val="24"/>
                <w:szCs w:val="24"/>
              </w:rPr>
              <w:t>F</w:t>
            </w:r>
            <w:r>
              <w:rPr>
                <w:rFonts w:hint="eastAsia" w:ascii="Calibri" w:hAnsi="Calibri"/>
                <w:kern w:val="2"/>
                <w:sz w:val="24"/>
                <w:szCs w:val="24"/>
              </w:rPr>
              <w:t>1</w:t>
            </w:r>
          </w:p>
        </w:tc>
        <w:tc>
          <w:tcPr>
            <w:tcW w:w="1030" w:type="dxa"/>
            <w:shd w:val="clear" w:color="auto" w:fill="auto"/>
            <w:vAlign w:val="center"/>
          </w:tcPr>
          <w:p>
            <w:pPr>
              <w:jc w:val="center"/>
              <w:rPr>
                <w:rFonts w:ascii="Calibri" w:hAnsi="Calibri"/>
                <w:kern w:val="2"/>
                <w:sz w:val="21"/>
                <w:szCs w:val="24"/>
              </w:rPr>
            </w:pPr>
            <w:r>
              <w:rPr>
                <w:rFonts w:ascii="Calibri" w:hAnsi="Calibri"/>
                <w:kern w:val="2"/>
                <w:sz w:val="24"/>
                <w:szCs w:val="24"/>
              </w:rPr>
              <w:t>A</w:t>
            </w:r>
            <w:r>
              <w:rPr>
                <w:rFonts w:hint="eastAsia" w:ascii="Calibri" w:hAnsi="Calibri"/>
                <w:kern w:val="2"/>
                <w:sz w:val="24"/>
                <w:szCs w:val="24"/>
              </w:rPr>
              <w:t>1</w:t>
            </w:r>
            <w:r>
              <w:rPr>
                <w:rFonts w:ascii="Calibri" w:hAnsi="Calibri"/>
                <w:kern w:val="2"/>
                <w:sz w:val="24"/>
                <w:szCs w:val="24"/>
              </w:rPr>
              <w:t>=</w:t>
            </w:r>
            <w:r>
              <w:rPr>
                <w:rFonts w:hint="eastAsia" w:ascii="Calibri" w:hAnsi="Calibri"/>
                <w:kern w:val="2"/>
                <w:sz w:val="21"/>
                <w:szCs w:val="24"/>
              </w:rPr>
              <w:t>1</w:t>
            </w:r>
            <w:r>
              <w:rPr>
                <w:rFonts w:hint="eastAsia" w:ascii="Calibri" w:hAnsi="Calibri"/>
                <w:kern w:val="2"/>
                <w:sz w:val="21"/>
                <w:szCs w:val="24"/>
                <w:lang w:val="en-US" w:eastAsia="zh-CN"/>
              </w:rPr>
              <w:t>0</w:t>
            </w:r>
            <w:r>
              <w:rPr>
                <w:rFonts w:ascii="Calibri" w:hAnsi="Calibri"/>
                <w:kern w:val="2"/>
                <w:sz w:val="24"/>
                <w:szCs w:val="24"/>
              </w:rPr>
              <w:t>%</w:t>
            </w:r>
          </w:p>
        </w:tc>
        <w:tc>
          <w:tcPr>
            <w:tcW w:w="5017" w:type="dxa"/>
            <w:shd w:val="clear" w:color="auto" w:fill="auto"/>
            <w:vAlign w:val="center"/>
          </w:tcPr>
          <w:p>
            <w:pPr>
              <w:adjustRightInd w:val="0"/>
              <w:snapToGrid w:val="0"/>
              <w:spacing w:line="360" w:lineRule="auto"/>
              <w:ind w:firstLine="420" w:firstLineChars="200"/>
              <w:rPr>
                <w:rFonts w:hint="eastAsia" w:ascii="Calibri" w:hAnsi="Calibri"/>
                <w:kern w:val="2"/>
                <w:sz w:val="21"/>
                <w:szCs w:val="24"/>
              </w:rPr>
            </w:pPr>
            <w:r>
              <w:rPr>
                <w:rFonts w:hint="eastAsia" w:ascii="Calibri" w:hAnsi="Calibri"/>
                <w:kern w:val="2"/>
                <w:sz w:val="21"/>
                <w:szCs w:val="24"/>
              </w:rPr>
              <w:t>企业应具有以下资质：</w:t>
            </w:r>
          </w:p>
          <w:p>
            <w:pPr>
              <w:adjustRightInd w:val="0"/>
              <w:snapToGrid w:val="0"/>
              <w:spacing w:line="360" w:lineRule="auto"/>
              <w:ind w:firstLine="420" w:firstLineChars="200"/>
              <w:rPr>
                <w:rFonts w:hint="eastAsia" w:ascii="Calibri" w:hAnsi="Calibri"/>
                <w:kern w:val="2"/>
                <w:sz w:val="21"/>
                <w:szCs w:val="24"/>
              </w:rPr>
            </w:pPr>
            <w:r>
              <w:rPr>
                <w:rFonts w:hint="eastAsia" w:ascii="Calibri" w:hAnsi="Calibri"/>
                <w:kern w:val="2"/>
                <w:sz w:val="21"/>
                <w:szCs w:val="24"/>
              </w:rPr>
              <w:t>1、科技类企业得50分；</w:t>
            </w:r>
          </w:p>
          <w:p>
            <w:pPr>
              <w:adjustRightInd w:val="0"/>
              <w:snapToGrid w:val="0"/>
              <w:spacing w:line="360" w:lineRule="auto"/>
              <w:ind w:firstLine="420" w:firstLineChars="200"/>
              <w:rPr>
                <w:rFonts w:ascii="Calibri" w:hAnsi="Calibri"/>
                <w:kern w:val="2"/>
                <w:sz w:val="21"/>
                <w:szCs w:val="24"/>
              </w:rPr>
            </w:pPr>
            <w:r>
              <w:rPr>
                <w:rFonts w:hint="eastAsia" w:ascii="Calibri" w:hAnsi="Calibri"/>
                <w:kern w:val="2"/>
                <w:sz w:val="21"/>
                <w:szCs w:val="24"/>
              </w:rPr>
              <w:t>2、高新技术企业得</w:t>
            </w:r>
            <w:r>
              <w:rPr>
                <w:rFonts w:hint="eastAsia" w:ascii="Calibri" w:hAnsi="Calibri"/>
                <w:kern w:val="2"/>
                <w:sz w:val="21"/>
                <w:szCs w:val="24"/>
                <w:lang w:val="en-US" w:eastAsia="zh-CN"/>
              </w:rPr>
              <w:t>100</w:t>
            </w:r>
            <w:r>
              <w:rPr>
                <w:rFonts w:hint="eastAsia" w:ascii="Calibri" w:hAnsi="Calibri"/>
                <w:kern w:val="2"/>
                <w:sz w:val="21"/>
                <w:szCs w:val="24"/>
              </w:rPr>
              <w:t>分；</w:t>
            </w:r>
          </w:p>
        </w:tc>
        <w:tc>
          <w:tcPr>
            <w:tcW w:w="600" w:type="dxa"/>
            <w:shd w:val="clear" w:color="auto" w:fill="auto"/>
            <w:vAlign w:val="center"/>
          </w:tcPr>
          <w:p>
            <w:pP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80" w:type="dxa"/>
            <w:vMerge w:val="restart"/>
            <w:shd w:val="clear" w:color="auto" w:fill="auto"/>
            <w:vAlign w:val="center"/>
          </w:tcPr>
          <w:p>
            <w:pPr>
              <w:jc w:val="center"/>
              <w:rPr>
                <w:rFonts w:ascii="Calibri" w:hAnsi="Calibri"/>
                <w:kern w:val="2"/>
                <w:sz w:val="21"/>
                <w:szCs w:val="24"/>
              </w:rPr>
            </w:pPr>
            <w:r>
              <w:rPr>
                <w:rFonts w:hint="eastAsia" w:ascii="Calibri" w:hAnsi="Calibri"/>
                <w:kern w:val="2"/>
                <w:sz w:val="21"/>
                <w:szCs w:val="24"/>
              </w:rPr>
              <w:t>2</w:t>
            </w:r>
          </w:p>
        </w:tc>
        <w:tc>
          <w:tcPr>
            <w:tcW w:w="1428" w:type="dxa"/>
            <w:vMerge w:val="restart"/>
            <w:shd w:val="clear" w:color="auto" w:fill="auto"/>
            <w:vAlign w:val="center"/>
          </w:tcPr>
          <w:p>
            <w:pPr>
              <w:rPr>
                <w:rFonts w:ascii="Calibri" w:hAnsi="Calibri"/>
                <w:kern w:val="2"/>
                <w:sz w:val="21"/>
                <w:szCs w:val="24"/>
              </w:rPr>
            </w:pPr>
            <w:r>
              <w:rPr>
                <w:rFonts w:hint="eastAsia" w:ascii="Calibri" w:hAnsi="Calibri"/>
                <w:kern w:val="2"/>
                <w:sz w:val="21"/>
                <w:szCs w:val="24"/>
              </w:rPr>
              <w:t>运营管理团队，具有一定专利知识和科技成果转化经验的管理人员。</w:t>
            </w:r>
          </w:p>
        </w:tc>
        <w:tc>
          <w:tcPr>
            <w:tcW w:w="748" w:type="dxa"/>
            <w:shd w:val="clear" w:color="auto" w:fill="auto"/>
            <w:vAlign w:val="center"/>
          </w:tcPr>
          <w:p>
            <w:pPr>
              <w:spacing w:line="320" w:lineRule="exact"/>
              <w:jc w:val="center"/>
              <w:rPr>
                <w:rFonts w:ascii="Calibri" w:hAnsi="Calibri"/>
                <w:kern w:val="2"/>
                <w:sz w:val="21"/>
                <w:szCs w:val="24"/>
              </w:rPr>
            </w:pPr>
            <w:r>
              <w:rPr>
                <w:rFonts w:ascii="Calibri" w:hAnsi="Calibri"/>
                <w:kern w:val="2"/>
                <w:sz w:val="24"/>
                <w:szCs w:val="24"/>
              </w:rPr>
              <w:t>F2</w:t>
            </w:r>
          </w:p>
        </w:tc>
        <w:tc>
          <w:tcPr>
            <w:tcW w:w="1030" w:type="dxa"/>
            <w:shd w:val="clear" w:color="auto" w:fill="auto"/>
            <w:vAlign w:val="center"/>
          </w:tcPr>
          <w:p>
            <w:pPr>
              <w:jc w:val="center"/>
              <w:rPr>
                <w:rFonts w:ascii="Calibri" w:hAnsi="Calibri"/>
                <w:kern w:val="2"/>
                <w:sz w:val="21"/>
                <w:szCs w:val="24"/>
              </w:rPr>
            </w:pPr>
            <w:r>
              <w:rPr>
                <w:rFonts w:ascii="Calibri" w:hAnsi="Calibri"/>
                <w:kern w:val="2"/>
                <w:sz w:val="24"/>
                <w:szCs w:val="24"/>
              </w:rPr>
              <w:t>A</w:t>
            </w:r>
            <w:r>
              <w:rPr>
                <w:rFonts w:hint="eastAsia" w:ascii="Calibri" w:hAnsi="Calibri"/>
                <w:kern w:val="2"/>
                <w:sz w:val="24"/>
                <w:szCs w:val="24"/>
              </w:rPr>
              <w:t>2</w:t>
            </w:r>
            <w:r>
              <w:rPr>
                <w:rFonts w:ascii="Calibri" w:hAnsi="Calibri"/>
                <w:kern w:val="2"/>
                <w:sz w:val="24"/>
                <w:szCs w:val="24"/>
              </w:rPr>
              <w:t>=</w:t>
            </w:r>
            <w:r>
              <w:rPr>
                <w:rFonts w:hint="eastAsia" w:ascii="Calibri" w:hAnsi="Calibri"/>
                <w:kern w:val="2"/>
                <w:sz w:val="21"/>
                <w:szCs w:val="24"/>
              </w:rPr>
              <w:t>10</w:t>
            </w:r>
            <w:r>
              <w:rPr>
                <w:rFonts w:ascii="Calibri" w:hAnsi="Calibri"/>
                <w:kern w:val="2"/>
                <w:sz w:val="24"/>
                <w:szCs w:val="24"/>
              </w:rPr>
              <w:t>%</w:t>
            </w:r>
          </w:p>
        </w:tc>
        <w:tc>
          <w:tcPr>
            <w:tcW w:w="5017" w:type="dxa"/>
            <w:shd w:val="clear" w:color="auto" w:fill="auto"/>
            <w:vAlign w:val="center"/>
          </w:tcPr>
          <w:p>
            <w:pPr>
              <w:adjustRightInd w:val="0"/>
              <w:snapToGrid w:val="0"/>
              <w:spacing w:line="360" w:lineRule="auto"/>
              <w:ind w:firstLine="420" w:firstLineChars="200"/>
              <w:rPr>
                <w:rFonts w:hint="eastAsia" w:ascii="Calibri" w:hAnsi="Calibri"/>
                <w:kern w:val="2"/>
                <w:sz w:val="21"/>
                <w:szCs w:val="24"/>
              </w:rPr>
            </w:pPr>
            <w:r>
              <w:rPr>
                <w:rFonts w:hint="eastAsia" w:ascii="Calibri" w:hAnsi="Calibri"/>
                <w:kern w:val="2"/>
                <w:sz w:val="21"/>
                <w:szCs w:val="24"/>
              </w:rPr>
              <w:t>负责人应具备以下学历：</w:t>
            </w:r>
          </w:p>
          <w:p>
            <w:pPr>
              <w:adjustRightInd w:val="0"/>
              <w:snapToGrid w:val="0"/>
              <w:spacing w:line="360" w:lineRule="auto"/>
              <w:ind w:firstLine="420" w:firstLineChars="200"/>
              <w:rPr>
                <w:rFonts w:hint="eastAsia" w:ascii="Calibri" w:hAnsi="Calibri"/>
                <w:kern w:val="2"/>
                <w:sz w:val="21"/>
                <w:szCs w:val="24"/>
              </w:rPr>
            </w:pPr>
            <w:r>
              <w:rPr>
                <w:rFonts w:hint="eastAsia" w:ascii="Calibri" w:hAnsi="Calibri"/>
                <w:kern w:val="2"/>
                <w:sz w:val="21"/>
                <w:szCs w:val="24"/>
              </w:rPr>
              <w:t>1、负责人为理工科博士（或正高职称）得100分；</w:t>
            </w:r>
          </w:p>
          <w:p>
            <w:pPr>
              <w:adjustRightInd w:val="0"/>
              <w:snapToGrid w:val="0"/>
              <w:spacing w:line="360" w:lineRule="auto"/>
              <w:ind w:firstLine="420" w:firstLineChars="200"/>
              <w:rPr>
                <w:rFonts w:hint="eastAsia" w:ascii="Calibri" w:hAnsi="Calibri"/>
                <w:kern w:val="2"/>
                <w:sz w:val="21"/>
                <w:szCs w:val="24"/>
              </w:rPr>
            </w:pPr>
            <w:r>
              <w:rPr>
                <w:rFonts w:hint="eastAsia" w:ascii="Calibri" w:hAnsi="Calibri"/>
                <w:kern w:val="2"/>
                <w:sz w:val="21"/>
                <w:szCs w:val="24"/>
              </w:rPr>
              <w:t>2、负责人为理工类硕士（或副高职称）得70分；</w:t>
            </w:r>
          </w:p>
          <w:p>
            <w:pPr>
              <w:adjustRightInd w:val="0"/>
              <w:snapToGrid w:val="0"/>
              <w:spacing w:line="360" w:lineRule="auto"/>
              <w:ind w:firstLine="420" w:firstLineChars="200"/>
              <w:rPr>
                <w:rFonts w:hint="eastAsia" w:ascii="Calibri" w:hAnsi="Calibri"/>
                <w:kern w:val="2"/>
                <w:sz w:val="21"/>
                <w:szCs w:val="24"/>
              </w:rPr>
            </w:pPr>
            <w:r>
              <w:rPr>
                <w:rFonts w:hint="eastAsia" w:ascii="Calibri" w:hAnsi="Calibri"/>
                <w:kern w:val="2"/>
                <w:sz w:val="21"/>
                <w:szCs w:val="24"/>
              </w:rPr>
              <w:t>3、负责人为理工科本科（或中级职称）得50分；</w:t>
            </w:r>
          </w:p>
          <w:p>
            <w:pPr>
              <w:adjustRightInd w:val="0"/>
              <w:snapToGrid w:val="0"/>
              <w:spacing w:line="360" w:lineRule="auto"/>
              <w:ind w:firstLine="420" w:firstLineChars="200"/>
              <w:rPr>
                <w:rFonts w:ascii="Calibri" w:hAnsi="Calibri"/>
                <w:kern w:val="2"/>
                <w:sz w:val="21"/>
                <w:szCs w:val="24"/>
              </w:rPr>
            </w:pPr>
            <w:r>
              <w:rPr>
                <w:rFonts w:hint="eastAsia" w:ascii="Calibri" w:hAnsi="Calibri"/>
                <w:kern w:val="2"/>
                <w:sz w:val="21"/>
                <w:szCs w:val="24"/>
              </w:rPr>
              <w:t>以最高学历或职称为准</w:t>
            </w:r>
          </w:p>
        </w:tc>
        <w:tc>
          <w:tcPr>
            <w:tcW w:w="600" w:type="dxa"/>
            <w:shd w:val="clear" w:color="auto" w:fill="auto"/>
            <w:vAlign w:val="center"/>
          </w:tcPr>
          <w:p>
            <w:pP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80" w:type="dxa"/>
            <w:vMerge w:val="continue"/>
            <w:shd w:val="clear" w:color="auto" w:fill="auto"/>
            <w:vAlign w:val="center"/>
          </w:tcPr>
          <w:p>
            <w:pPr>
              <w:rPr>
                <w:rFonts w:ascii="Calibri" w:hAnsi="Calibri"/>
                <w:kern w:val="2"/>
                <w:sz w:val="21"/>
                <w:szCs w:val="24"/>
              </w:rPr>
            </w:pPr>
          </w:p>
        </w:tc>
        <w:tc>
          <w:tcPr>
            <w:tcW w:w="1428" w:type="dxa"/>
            <w:vMerge w:val="continue"/>
            <w:shd w:val="clear" w:color="auto" w:fill="auto"/>
            <w:vAlign w:val="center"/>
          </w:tcPr>
          <w:p>
            <w:pPr>
              <w:rPr>
                <w:rFonts w:ascii="Calibri" w:hAnsi="Calibri"/>
                <w:kern w:val="2"/>
                <w:sz w:val="21"/>
                <w:szCs w:val="24"/>
              </w:rPr>
            </w:pPr>
          </w:p>
        </w:tc>
        <w:tc>
          <w:tcPr>
            <w:tcW w:w="748" w:type="dxa"/>
            <w:shd w:val="clear" w:color="auto" w:fill="auto"/>
            <w:vAlign w:val="center"/>
          </w:tcPr>
          <w:p>
            <w:pPr>
              <w:spacing w:line="320" w:lineRule="exact"/>
              <w:jc w:val="center"/>
              <w:rPr>
                <w:rFonts w:ascii="Calibri" w:hAnsi="Calibri"/>
                <w:kern w:val="2"/>
                <w:sz w:val="21"/>
                <w:szCs w:val="24"/>
              </w:rPr>
            </w:pPr>
            <w:r>
              <w:rPr>
                <w:rFonts w:ascii="Calibri" w:hAnsi="Calibri"/>
                <w:kern w:val="2"/>
                <w:sz w:val="24"/>
                <w:szCs w:val="24"/>
              </w:rPr>
              <w:t>F3</w:t>
            </w:r>
          </w:p>
        </w:tc>
        <w:tc>
          <w:tcPr>
            <w:tcW w:w="1030" w:type="dxa"/>
            <w:shd w:val="clear" w:color="auto" w:fill="auto"/>
            <w:vAlign w:val="center"/>
          </w:tcPr>
          <w:p>
            <w:pPr>
              <w:jc w:val="center"/>
              <w:rPr>
                <w:rFonts w:ascii="Calibri" w:hAnsi="Calibri"/>
                <w:kern w:val="2"/>
                <w:sz w:val="21"/>
                <w:szCs w:val="24"/>
              </w:rPr>
            </w:pPr>
            <w:r>
              <w:rPr>
                <w:rFonts w:ascii="Calibri" w:hAnsi="Calibri"/>
                <w:kern w:val="2"/>
                <w:sz w:val="24"/>
                <w:szCs w:val="24"/>
              </w:rPr>
              <w:t>A</w:t>
            </w:r>
            <w:r>
              <w:rPr>
                <w:rFonts w:hint="eastAsia" w:ascii="Calibri" w:hAnsi="Calibri"/>
                <w:kern w:val="2"/>
                <w:sz w:val="24"/>
                <w:szCs w:val="24"/>
              </w:rPr>
              <w:t>3</w:t>
            </w:r>
            <w:r>
              <w:rPr>
                <w:rFonts w:ascii="Calibri" w:hAnsi="Calibri"/>
                <w:kern w:val="2"/>
                <w:sz w:val="24"/>
                <w:szCs w:val="24"/>
              </w:rPr>
              <w:t>=</w:t>
            </w:r>
            <w:r>
              <w:rPr>
                <w:rFonts w:hint="eastAsia" w:ascii="Calibri" w:hAnsi="Calibri"/>
                <w:kern w:val="2"/>
                <w:sz w:val="21"/>
                <w:szCs w:val="24"/>
              </w:rPr>
              <w:t>1</w:t>
            </w:r>
            <w:r>
              <w:rPr>
                <w:rFonts w:hint="eastAsia" w:ascii="Calibri" w:hAnsi="Calibri"/>
                <w:kern w:val="2"/>
                <w:sz w:val="21"/>
                <w:szCs w:val="24"/>
                <w:lang w:val="en-US" w:eastAsia="zh-CN"/>
              </w:rPr>
              <w:t>0</w:t>
            </w:r>
            <w:r>
              <w:rPr>
                <w:rFonts w:ascii="Calibri" w:hAnsi="Calibri"/>
                <w:kern w:val="2"/>
                <w:sz w:val="24"/>
                <w:szCs w:val="24"/>
              </w:rPr>
              <w:t>%</w:t>
            </w:r>
          </w:p>
        </w:tc>
        <w:tc>
          <w:tcPr>
            <w:tcW w:w="5017" w:type="dxa"/>
            <w:shd w:val="clear" w:color="auto" w:fill="auto"/>
            <w:vAlign w:val="center"/>
          </w:tcPr>
          <w:p>
            <w:pPr>
              <w:adjustRightInd w:val="0"/>
              <w:snapToGrid w:val="0"/>
              <w:spacing w:line="360" w:lineRule="auto"/>
              <w:ind w:firstLine="420" w:firstLineChars="200"/>
              <w:rPr>
                <w:rFonts w:hint="eastAsia" w:ascii="Calibri" w:hAnsi="Calibri"/>
                <w:kern w:val="2"/>
                <w:sz w:val="21"/>
                <w:szCs w:val="24"/>
              </w:rPr>
            </w:pPr>
            <w:r>
              <w:rPr>
                <w:rFonts w:hint="eastAsia" w:ascii="Calibri" w:hAnsi="Calibri"/>
                <w:kern w:val="2"/>
                <w:sz w:val="21"/>
                <w:szCs w:val="24"/>
              </w:rPr>
              <w:t>运营管理团队（不含负责人）：</w:t>
            </w:r>
          </w:p>
          <w:p>
            <w:pPr>
              <w:adjustRightInd w:val="0"/>
              <w:snapToGrid w:val="0"/>
              <w:spacing w:line="360" w:lineRule="auto"/>
              <w:ind w:firstLine="420" w:firstLineChars="200"/>
              <w:rPr>
                <w:rFonts w:hint="eastAsia" w:ascii="Calibri" w:hAnsi="Calibri"/>
                <w:kern w:val="2"/>
                <w:sz w:val="21"/>
                <w:szCs w:val="24"/>
              </w:rPr>
            </w:pPr>
            <w:r>
              <w:rPr>
                <w:rFonts w:hint="eastAsia" w:ascii="Calibri" w:hAnsi="Calibri"/>
                <w:kern w:val="2"/>
                <w:sz w:val="21"/>
                <w:szCs w:val="24"/>
              </w:rPr>
              <w:t>1、具有3名以上理工类硕士研究生或高级技术职称人员100分；</w:t>
            </w:r>
          </w:p>
          <w:p>
            <w:pPr>
              <w:adjustRightInd w:val="0"/>
              <w:snapToGrid w:val="0"/>
              <w:spacing w:line="360" w:lineRule="auto"/>
              <w:ind w:firstLine="420" w:firstLineChars="200"/>
              <w:rPr>
                <w:rFonts w:hint="eastAsia" w:ascii="Calibri" w:hAnsi="Calibri"/>
                <w:kern w:val="2"/>
                <w:sz w:val="21"/>
                <w:szCs w:val="24"/>
              </w:rPr>
            </w:pPr>
            <w:r>
              <w:rPr>
                <w:rFonts w:hint="eastAsia" w:ascii="Calibri" w:hAnsi="Calibri"/>
                <w:kern w:val="2"/>
                <w:sz w:val="21"/>
                <w:szCs w:val="24"/>
              </w:rPr>
              <w:t>2、具有2名理工类硕士研究生或高级技术职称人员70分；</w:t>
            </w:r>
          </w:p>
          <w:p>
            <w:pPr>
              <w:adjustRightInd w:val="0"/>
              <w:snapToGrid w:val="0"/>
              <w:spacing w:line="360" w:lineRule="auto"/>
              <w:ind w:firstLine="420" w:firstLineChars="200"/>
              <w:rPr>
                <w:rFonts w:hint="eastAsia" w:ascii="Calibri" w:hAnsi="Calibri" w:eastAsia="宋体"/>
                <w:kern w:val="2"/>
                <w:sz w:val="21"/>
                <w:szCs w:val="24"/>
                <w:lang w:eastAsia="zh-CN"/>
              </w:rPr>
            </w:pPr>
            <w:r>
              <w:rPr>
                <w:rFonts w:hint="eastAsia" w:ascii="Calibri" w:hAnsi="Calibri"/>
                <w:kern w:val="2"/>
                <w:sz w:val="21"/>
                <w:szCs w:val="24"/>
              </w:rPr>
              <w:t>3、具有4名理工类硕士研究生或高级技术职称人员35分。</w:t>
            </w:r>
          </w:p>
        </w:tc>
        <w:tc>
          <w:tcPr>
            <w:tcW w:w="600" w:type="dxa"/>
            <w:shd w:val="clear" w:color="auto" w:fill="auto"/>
            <w:vAlign w:val="center"/>
          </w:tcPr>
          <w:p>
            <w:pP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80" w:type="dxa"/>
            <w:vMerge w:val="continue"/>
            <w:shd w:val="clear" w:color="auto" w:fill="auto"/>
            <w:vAlign w:val="center"/>
          </w:tcPr>
          <w:p>
            <w:pPr>
              <w:rPr>
                <w:rFonts w:ascii="Calibri" w:hAnsi="Calibri"/>
                <w:kern w:val="2"/>
                <w:sz w:val="21"/>
                <w:szCs w:val="24"/>
              </w:rPr>
            </w:pPr>
          </w:p>
        </w:tc>
        <w:tc>
          <w:tcPr>
            <w:tcW w:w="1428" w:type="dxa"/>
            <w:vMerge w:val="continue"/>
            <w:shd w:val="clear" w:color="auto" w:fill="auto"/>
            <w:vAlign w:val="center"/>
          </w:tcPr>
          <w:p>
            <w:pPr>
              <w:rPr>
                <w:rFonts w:ascii="Calibri" w:hAnsi="Calibri"/>
                <w:kern w:val="2"/>
                <w:sz w:val="21"/>
                <w:szCs w:val="24"/>
              </w:rPr>
            </w:pPr>
          </w:p>
        </w:tc>
        <w:tc>
          <w:tcPr>
            <w:tcW w:w="748" w:type="dxa"/>
            <w:shd w:val="clear" w:color="auto" w:fill="auto"/>
            <w:vAlign w:val="center"/>
          </w:tcPr>
          <w:p>
            <w:pPr>
              <w:spacing w:line="320" w:lineRule="exact"/>
              <w:jc w:val="center"/>
              <w:rPr>
                <w:rFonts w:ascii="Calibri" w:hAnsi="Calibri"/>
                <w:kern w:val="2"/>
                <w:sz w:val="24"/>
                <w:szCs w:val="24"/>
              </w:rPr>
            </w:pPr>
            <w:r>
              <w:rPr>
                <w:rFonts w:ascii="Calibri" w:hAnsi="Calibri"/>
                <w:kern w:val="2"/>
                <w:sz w:val="24"/>
                <w:szCs w:val="24"/>
              </w:rPr>
              <w:t>F4</w:t>
            </w:r>
          </w:p>
        </w:tc>
        <w:tc>
          <w:tcPr>
            <w:tcW w:w="1030" w:type="dxa"/>
            <w:shd w:val="clear" w:color="auto" w:fill="auto"/>
            <w:vAlign w:val="center"/>
          </w:tcPr>
          <w:p>
            <w:pPr>
              <w:jc w:val="center"/>
              <w:rPr>
                <w:rFonts w:ascii="Calibri" w:hAnsi="Calibri"/>
                <w:kern w:val="2"/>
                <w:sz w:val="24"/>
                <w:szCs w:val="24"/>
              </w:rPr>
            </w:pPr>
            <w:r>
              <w:rPr>
                <w:rFonts w:ascii="Calibri" w:hAnsi="Calibri"/>
                <w:kern w:val="2"/>
                <w:sz w:val="24"/>
                <w:szCs w:val="24"/>
              </w:rPr>
              <w:t>A</w:t>
            </w:r>
            <w:r>
              <w:rPr>
                <w:rFonts w:hint="eastAsia" w:ascii="Calibri" w:hAnsi="Calibri"/>
                <w:kern w:val="2"/>
                <w:sz w:val="24"/>
                <w:szCs w:val="24"/>
              </w:rPr>
              <w:t>4</w:t>
            </w:r>
            <w:r>
              <w:rPr>
                <w:rFonts w:ascii="Calibri" w:hAnsi="Calibri"/>
                <w:kern w:val="2"/>
                <w:sz w:val="24"/>
                <w:szCs w:val="24"/>
              </w:rPr>
              <w:t>=</w:t>
            </w:r>
            <w:r>
              <w:rPr>
                <w:rFonts w:hint="eastAsia" w:ascii="Calibri" w:hAnsi="Calibri"/>
                <w:kern w:val="2"/>
                <w:sz w:val="21"/>
                <w:szCs w:val="24"/>
              </w:rPr>
              <w:t>10</w:t>
            </w:r>
            <w:r>
              <w:rPr>
                <w:rFonts w:ascii="Calibri" w:hAnsi="Calibri"/>
                <w:kern w:val="2"/>
                <w:sz w:val="24"/>
                <w:szCs w:val="24"/>
              </w:rPr>
              <w:t>%</w:t>
            </w:r>
          </w:p>
        </w:tc>
        <w:tc>
          <w:tcPr>
            <w:tcW w:w="5017" w:type="dxa"/>
            <w:shd w:val="clear" w:color="auto" w:fill="auto"/>
            <w:vAlign w:val="center"/>
          </w:tcPr>
          <w:p>
            <w:pPr>
              <w:adjustRightInd w:val="0"/>
              <w:snapToGrid w:val="0"/>
              <w:spacing w:line="360" w:lineRule="auto"/>
              <w:ind w:firstLine="420" w:firstLineChars="200"/>
              <w:rPr>
                <w:rFonts w:ascii="Calibri" w:hAnsi="Calibri"/>
                <w:kern w:val="2"/>
                <w:sz w:val="21"/>
                <w:szCs w:val="24"/>
              </w:rPr>
            </w:pPr>
            <w:r>
              <w:rPr>
                <w:rFonts w:hint="eastAsia" w:ascii="Calibri" w:hAnsi="Calibri"/>
                <w:color w:val="000000" w:themeColor="text1"/>
                <w:kern w:val="2"/>
                <w:sz w:val="21"/>
                <w:szCs w:val="24"/>
                <w14:textFill>
                  <w14:solidFill>
                    <w14:schemeClr w14:val="tx1"/>
                  </w14:solidFill>
                </w14:textFill>
              </w:rPr>
              <w:t>运营团队有完善的社保体制，每提供一个与本项目相关的专业人员社保缴纳证明及劳动合同（原件）的得10分，最高得100分。</w:t>
            </w:r>
          </w:p>
        </w:tc>
        <w:tc>
          <w:tcPr>
            <w:tcW w:w="600" w:type="dxa"/>
            <w:shd w:val="clear" w:color="auto" w:fill="auto"/>
            <w:vAlign w:val="center"/>
          </w:tcPr>
          <w:p>
            <w:pP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80" w:type="dxa"/>
            <w:vMerge w:val="continue"/>
            <w:shd w:val="clear" w:color="auto" w:fill="auto"/>
            <w:vAlign w:val="center"/>
          </w:tcPr>
          <w:p>
            <w:pPr>
              <w:jc w:val="center"/>
              <w:rPr>
                <w:rFonts w:ascii="Calibri" w:hAnsi="Calibri"/>
                <w:kern w:val="2"/>
                <w:sz w:val="21"/>
                <w:szCs w:val="24"/>
              </w:rPr>
            </w:pPr>
          </w:p>
        </w:tc>
        <w:tc>
          <w:tcPr>
            <w:tcW w:w="1428" w:type="dxa"/>
            <w:vMerge w:val="continue"/>
            <w:shd w:val="clear" w:color="auto" w:fill="auto"/>
            <w:vAlign w:val="center"/>
          </w:tcPr>
          <w:p>
            <w:pPr>
              <w:rPr>
                <w:rFonts w:ascii="Calibri" w:hAnsi="Calibri"/>
                <w:kern w:val="2"/>
                <w:sz w:val="21"/>
                <w:szCs w:val="24"/>
              </w:rPr>
            </w:pPr>
          </w:p>
        </w:tc>
        <w:tc>
          <w:tcPr>
            <w:tcW w:w="748" w:type="dxa"/>
            <w:shd w:val="clear" w:color="auto" w:fill="auto"/>
            <w:vAlign w:val="center"/>
          </w:tcPr>
          <w:p>
            <w:pPr>
              <w:spacing w:line="320" w:lineRule="exact"/>
              <w:jc w:val="center"/>
              <w:rPr>
                <w:rFonts w:ascii="Calibri" w:hAnsi="Calibri"/>
                <w:kern w:val="2"/>
                <w:sz w:val="24"/>
                <w:szCs w:val="24"/>
              </w:rPr>
            </w:pPr>
            <w:r>
              <w:rPr>
                <w:rFonts w:ascii="Calibri" w:hAnsi="Calibri"/>
                <w:kern w:val="2"/>
                <w:sz w:val="24"/>
                <w:szCs w:val="24"/>
              </w:rPr>
              <w:t>F5</w:t>
            </w:r>
          </w:p>
        </w:tc>
        <w:tc>
          <w:tcPr>
            <w:tcW w:w="1030" w:type="dxa"/>
            <w:shd w:val="clear" w:color="auto" w:fill="auto"/>
            <w:vAlign w:val="center"/>
          </w:tcPr>
          <w:p>
            <w:pPr>
              <w:rPr>
                <w:rFonts w:ascii="Calibri" w:hAnsi="Calibri"/>
                <w:kern w:val="2"/>
                <w:sz w:val="24"/>
                <w:szCs w:val="24"/>
              </w:rPr>
            </w:pPr>
            <w:r>
              <w:rPr>
                <w:rFonts w:ascii="Calibri" w:hAnsi="Calibri"/>
                <w:kern w:val="2"/>
                <w:sz w:val="24"/>
                <w:szCs w:val="24"/>
              </w:rPr>
              <w:t>A</w:t>
            </w:r>
            <w:r>
              <w:rPr>
                <w:rFonts w:hint="eastAsia" w:ascii="Calibri" w:hAnsi="Calibri"/>
                <w:kern w:val="2"/>
                <w:sz w:val="24"/>
                <w:szCs w:val="24"/>
              </w:rPr>
              <w:t>5</w:t>
            </w:r>
            <w:r>
              <w:rPr>
                <w:rFonts w:ascii="Calibri" w:hAnsi="Calibri"/>
                <w:kern w:val="2"/>
                <w:sz w:val="24"/>
                <w:szCs w:val="24"/>
              </w:rPr>
              <w:t>=</w:t>
            </w:r>
            <w:r>
              <w:rPr>
                <w:rFonts w:hint="eastAsia" w:ascii="Calibri" w:hAnsi="Calibri"/>
                <w:kern w:val="2"/>
                <w:sz w:val="21"/>
                <w:szCs w:val="24"/>
              </w:rPr>
              <w:t>1</w:t>
            </w:r>
            <w:r>
              <w:rPr>
                <w:rFonts w:ascii="Calibri" w:hAnsi="Calibri"/>
                <w:kern w:val="2"/>
                <w:sz w:val="21"/>
                <w:szCs w:val="24"/>
              </w:rPr>
              <w:t>0</w:t>
            </w:r>
            <w:r>
              <w:rPr>
                <w:rFonts w:ascii="Calibri" w:hAnsi="Calibri"/>
                <w:kern w:val="2"/>
                <w:sz w:val="24"/>
                <w:szCs w:val="24"/>
              </w:rPr>
              <w:t>%</w:t>
            </w:r>
          </w:p>
        </w:tc>
        <w:tc>
          <w:tcPr>
            <w:tcW w:w="5017" w:type="dxa"/>
            <w:shd w:val="clear" w:color="auto" w:fill="auto"/>
            <w:vAlign w:val="center"/>
          </w:tcPr>
          <w:p>
            <w:pPr>
              <w:adjustRightInd w:val="0"/>
              <w:snapToGrid w:val="0"/>
              <w:spacing w:line="360" w:lineRule="auto"/>
              <w:ind w:firstLine="420" w:firstLineChars="200"/>
              <w:rPr>
                <w:rFonts w:hint="eastAsia" w:ascii="Calibri" w:hAnsi="Calibri"/>
                <w:color w:val="000000" w:themeColor="text1"/>
                <w:kern w:val="2"/>
                <w:sz w:val="21"/>
                <w:szCs w:val="24"/>
                <w14:textFill>
                  <w14:solidFill>
                    <w14:schemeClr w14:val="tx1"/>
                  </w14:solidFill>
                </w14:textFill>
              </w:rPr>
            </w:pPr>
            <w:r>
              <w:rPr>
                <w:rFonts w:hint="eastAsia" w:ascii="Calibri" w:hAnsi="Calibri"/>
                <w:color w:val="000000" w:themeColor="text1"/>
                <w:kern w:val="2"/>
                <w:sz w:val="21"/>
                <w:szCs w:val="24"/>
                <w14:textFill>
                  <w14:solidFill>
                    <w14:schemeClr w14:val="tx1"/>
                  </w14:solidFill>
                </w14:textFill>
              </w:rPr>
              <w:t>运营团队成员，有工业信息化部中小企业发展促进中心颁发的创业辅导师培训证书的（原件），每一个证书50分，最高得100分</w:t>
            </w:r>
            <w:r>
              <w:rPr>
                <w:rFonts w:hint="eastAsia" w:ascii="Calibri" w:hAnsi="Calibri"/>
                <w:color w:val="000000" w:themeColor="text1"/>
                <w:kern w:val="2"/>
                <w:sz w:val="21"/>
                <w:szCs w:val="24"/>
                <w:lang w:eastAsia="zh-CN"/>
                <w14:textFill>
                  <w14:solidFill>
                    <w14:schemeClr w14:val="tx1"/>
                  </w14:solidFill>
                </w14:textFill>
              </w:rPr>
              <w:t>，</w:t>
            </w:r>
            <w:r>
              <w:rPr>
                <w:rFonts w:hint="eastAsia" w:ascii="Calibri" w:hAnsi="Calibri"/>
                <w:color w:val="000000" w:themeColor="text1"/>
                <w:kern w:val="2"/>
                <w:sz w:val="21"/>
                <w:szCs w:val="24"/>
                <w14:textFill>
                  <w14:solidFill>
                    <w14:schemeClr w14:val="tx1"/>
                  </w14:solidFill>
                </w14:textFill>
              </w:rPr>
              <w:t>未提供不得分。</w:t>
            </w:r>
          </w:p>
        </w:tc>
        <w:tc>
          <w:tcPr>
            <w:tcW w:w="600" w:type="dxa"/>
            <w:shd w:val="clear" w:color="auto" w:fill="auto"/>
            <w:vAlign w:val="center"/>
          </w:tcPr>
          <w:p>
            <w:pP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80" w:type="dxa"/>
            <w:vMerge w:val="restart"/>
            <w:shd w:val="clear" w:color="auto" w:fill="auto"/>
            <w:vAlign w:val="center"/>
          </w:tcPr>
          <w:p>
            <w:pPr>
              <w:jc w:val="center"/>
              <w:rPr>
                <w:rFonts w:ascii="Calibri" w:hAnsi="Calibri"/>
                <w:kern w:val="2"/>
                <w:sz w:val="21"/>
                <w:szCs w:val="24"/>
              </w:rPr>
            </w:pPr>
            <w:r>
              <w:rPr>
                <w:rFonts w:hint="eastAsia" w:ascii="Calibri" w:hAnsi="Calibri"/>
                <w:kern w:val="2"/>
                <w:sz w:val="21"/>
                <w:szCs w:val="24"/>
              </w:rPr>
              <w:t>3</w:t>
            </w:r>
          </w:p>
        </w:tc>
        <w:tc>
          <w:tcPr>
            <w:tcW w:w="1428" w:type="dxa"/>
            <w:vMerge w:val="restart"/>
            <w:shd w:val="clear" w:color="auto" w:fill="auto"/>
            <w:vAlign w:val="center"/>
          </w:tcPr>
          <w:p>
            <w:pPr>
              <w:rPr>
                <w:rFonts w:ascii="Calibri" w:hAnsi="Calibri"/>
                <w:kern w:val="2"/>
                <w:sz w:val="21"/>
                <w:szCs w:val="24"/>
              </w:rPr>
            </w:pPr>
            <w:r>
              <w:rPr>
                <w:rFonts w:hint="eastAsia" w:ascii="Calibri" w:hAnsi="Calibri"/>
                <w:kern w:val="2"/>
                <w:sz w:val="21"/>
                <w:szCs w:val="24"/>
              </w:rPr>
              <w:t>运营管理方案</w:t>
            </w:r>
          </w:p>
        </w:tc>
        <w:tc>
          <w:tcPr>
            <w:tcW w:w="748" w:type="dxa"/>
            <w:shd w:val="clear" w:color="auto" w:fill="auto"/>
            <w:vAlign w:val="center"/>
          </w:tcPr>
          <w:p>
            <w:pPr>
              <w:spacing w:line="320" w:lineRule="exact"/>
              <w:jc w:val="center"/>
              <w:rPr>
                <w:rFonts w:ascii="Calibri" w:hAnsi="Calibri"/>
                <w:kern w:val="2"/>
                <w:sz w:val="21"/>
                <w:szCs w:val="24"/>
              </w:rPr>
            </w:pPr>
            <w:r>
              <w:rPr>
                <w:rFonts w:ascii="Calibri" w:hAnsi="Calibri"/>
                <w:kern w:val="2"/>
                <w:sz w:val="24"/>
                <w:szCs w:val="24"/>
              </w:rPr>
              <w:t>F6</w:t>
            </w:r>
          </w:p>
        </w:tc>
        <w:tc>
          <w:tcPr>
            <w:tcW w:w="1030" w:type="dxa"/>
            <w:shd w:val="clear" w:color="auto" w:fill="auto"/>
            <w:vAlign w:val="center"/>
          </w:tcPr>
          <w:p>
            <w:pPr>
              <w:rPr>
                <w:rFonts w:ascii="Calibri" w:hAnsi="Calibri"/>
                <w:kern w:val="2"/>
                <w:sz w:val="21"/>
                <w:szCs w:val="24"/>
              </w:rPr>
            </w:pPr>
            <w:r>
              <w:rPr>
                <w:rFonts w:ascii="Calibri" w:hAnsi="Calibri"/>
                <w:kern w:val="2"/>
                <w:sz w:val="24"/>
                <w:szCs w:val="24"/>
              </w:rPr>
              <w:t>A</w:t>
            </w:r>
            <w:r>
              <w:rPr>
                <w:rFonts w:hint="eastAsia" w:ascii="Calibri" w:hAnsi="Calibri"/>
                <w:kern w:val="2"/>
                <w:sz w:val="24"/>
                <w:szCs w:val="24"/>
              </w:rPr>
              <w:t>6</w:t>
            </w:r>
            <w:r>
              <w:rPr>
                <w:rFonts w:ascii="Calibri" w:hAnsi="Calibri"/>
                <w:kern w:val="2"/>
                <w:sz w:val="24"/>
                <w:szCs w:val="24"/>
              </w:rPr>
              <w:t>=</w:t>
            </w:r>
            <w:r>
              <w:rPr>
                <w:rFonts w:hint="eastAsia" w:ascii="Calibri" w:hAnsi="Calibri"/>
                <w:kern w:val="2"/>
                <w:sz w:val="21"/>
                <w:szCs w:val="24"/>
              </w:rPr>
              <w:t>10</w:t>
            </w:r>
            <w:r>
              <w:rPr>
                <w:rFonts w:ascii="Calibri" w:hAnsi="Calibri"/>
                <w:kern w:val="2"/>
                <w:sz w:val="24"/>
                <w:szCs w:val="24"/>
              </w:rPr>
              <w:t>%</w:t>
            </w:r>
          </w:p>
        </w:tc>
        <w:tc>
          <w:tcPr>
            <w:tcW w:w="5017" w:type="dxa"/>
            <w:shd w:val="clear" w:color="auto" w:fill="auto"/>
            <w:vAlign w:val="center"/>
          </w:tcPr>
          <w:p>
            <w:pPr>
              <w:adjustRightInd w:val="0"/>
              <w:snapToGrid w:val="0"/>
              <w:spacing w:line="360" w:lineRule="auto"/>
              <w:ind w:firstLine="420" w:firstLineChars="200"/>
              <w:rPr>
                <w:rFonts w:hint="eastAsia" w:ascii="Calibri" w:hAnsi="Calibri"/>
                <w:color w:val="000000" w:themeColor="text1"/>
                <w:kern w:val="2"/>
                <w:sz w:val="21"/>
                <w:szCs w:val="24"/>
                <w14:textFill>
                  <w14:solidFill>
                    <w14:schemeClr w14:val="tx1"/>
                  </w14:solidFill>
                </w14:textFill>
              </w:rPr>
            </w:pPr>
            <w:r>
              <w:rPr>
                <w:rFonts w:hint="eastAsia" w:ascii="Calibri" w:hAnsi="Calibri"/>
                <w:color w:val="000000" w:themeColor="text1"/>
                <w:kern w:val="2"/>
                <w:sz w:val="21"/>
                <w:szCs w:val="24"/>
                <w14:textFill>
                  <w14:solidFill>
                    <w14:schemeClr w14:val="tx1"/>
                  </w14:solidFill>
                </w14:textFill>
              </w:rPr>
              <w:t>对唐山市科技工作者创新创业基地定位准确，体现科协特点。</w:t>
            </w:r>
          </w:p>
          <w:p>
            <w:pPr>
              <w:adjustRightInd w:val="0"/>
              <w:snapToGrid w:val="0"/>
              <w:spacing w:line="360" w:lineRule="auto"/>
              <w:ind w:firstLine="420" w:firstLineChars="200"/>
              <w:rPr>
                <w:rFonts w:hint="eastAsia" w:ascii="Calibri" w:hAnsi="Calibri"/>
                <w:color w:val="000000" w:themeColor="text1"/>
                <w:kern w:val="2"/>
                <w:sz w:val="21"/>
                <w:szCs w:val="24"/>
                <w14:textFill>
                  <w14:solidFill>
                    <w14:schemeClr w14:val="tx1"/>
                  </w14:solidFill>
                </w14:textFill>
              </w:rPr>
            </w:pPr>
            <w:r>
              <w:rPr>
                <w:rFonts w:hint="eastAsia" w:ascii="Calibri" w:hAnsi="Calibri"/>
                <w:color w:val="000000" w:themeColor="text1"/>
                <w:kern w:val="2"/>
                <w:sz w:val="21"/>
                <w:szCs w:val="24"/>
                <w14:textFill>
                  <w14:solidFill>
                    <w14:schemeClr w14:val="tx1"/>
                  </w14:solidFill>
                </w14:textFill>
              </w:rPr>
              <w:t>得60-100分，未提供不得分。</w:t>
            </w:r>
          </w:p>
        </w:tc>
        <w:tc>
          <w:tcPr>
            <w:tcW w:w="600" w:type="dxa"/>
            <w:shd w:val="clear" w:color="auto" w:fill="auto"/>
            <w:vAlign w:val="center"/>
          </w:tcPr>
          <w:p>
            <w:pP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80" w:type="dxa"/>
            <w:vMerge w:val="continue"/>
            <w:shd w:val="clear" w:color="auto" w:fill="auto"/>
            <w:vAlign w:val="center"/>
          </w:tcPr>
          <w:p>
            <w:pPr>
              <w:jc w:val="center"/>
              <w:rPr>
                <w:rFonts w:ascii="Calibri" w:hAnsi="Calibri"/>
                <w:kern w:val="2"/>
                <w:sz w:val="21"/>
                <w:szCs w:val="24"/>
              </w:rPr>
            </w:pPr>
          </w:p>
        </w:tc>
        <w:tc>
          <w:tcPr>
            <w:tcW w:w="1428" w:type="dxa"/>
            <w:vMerge w:val="continue"/>
            <w:shd w:val="clear" w:color="auto" w:fill="auto"/>
            <w:vAlign w:val="center"/>
          </w:tcPr>
          <w:p>
            <w:pPr>
              <w:rPr>
                <w:rFonts w:ascii="Calibri" w:hAnsi="Calibri"/>
                <w:kern w:val="2"/>
                <w:sz w:val="21"/>
                <w:szCs w:val="24"/>
              </w:rPr>
            </w:pPr>
          </w:p>
        </w:tc>
        <w:tc>
          <w:tcPr>
            <w:tcW w:w="748" w:type="dxa"/>
            <w:shd w:val="clear" w:color="auto" w:fill="auto"/>
            <w:vAlign w:val="center"/>
          </w:tcPr>
          <w:p>
            <w:pPr>
              <w:spacing w:line="320" w:lineRule="exact"/>
              <w:jc w:val="center"/>
              <w:rPr>
                <w:rFonts w:ascii="Calibri" w:hAnsi="Calibri"/>
                <w:kern w:val="2"/>
                <w:sz w:val="21"/>
                <w:szCs w:val="24"/>
              </w:rPr>
            </w:pPr>
            <w:r>
              <w:rPr>
                <w:rFonts w:ascii="Calibri" w:hAnsi="Calibri"/>
                <w:kern w:val="2"/>
                <w:sz w:val="24"/>
                <w:szCs w:val="24"/>
              </w:rPr>
              <w:t>F7</w:t>
            </w:r>
          </w:p>
        </w:tc>
        <w:tc>
          <w:tcPr>
            <w:tcW w:w="1030" w:type="dxa"/>
            <w:shd w:val="clear" w:color="auto" w:fill="auto"/>
            <w:vAlign w:val="center"/>
          </w:tcPr>
          <w:p>
            <w:pPr>
              <w:rPr>
                <w:rFonts w:ascii="Calibri" w:hAnsi="Calibri"/>
                <w:kern w:val="2"/>
                <w:sz w:val="21"/>
                <w:szCs w:val="24"/>
              </w:rPr>
            </w:pPr>
            <w:r>
              <w:rPr>
                <w:rFonts w:ascii="Calibri" w:hAnsi="Calibri"/>
                <w:kern w:val="2"/>
                <w:sz w:val="24"/>
                <w:szCs w:val="24"/>
              </w:rPr>
              <w:t>A</w:t>
            </w:r>
            <w:r>
              <w:rPr>
                <w:rFonts w:hint="eastAsia" w:ascii="Calibri" w:hAnsi="Calibri"/>
                <w:kern w:val="2"/>
                <w:sz w:val="24"/>
                <w:szCs w:val="24"/>
              </w:rPr>
              <w:t>7</w:t>
            </w:r>
            <w:r>
              <w:rPr>
                <w:rFonts w:ascii="Calibri" w:hAnsi="Calibri"/>
                <w:kern w:val="2"/>
                <w:sz w:val="24"/>
                <w:szCs w:val="24"/>
              </w:rPr>
              <w:t>=</w:t>
            </w:r>
            <w:r>
              <w:rPr>
                <w:rFonts w:ascii="Calibri" w:hAnsi="Calibri"/>
                <w:kern w:val="2"/>
                <w:sz w:val="21"/>
                <w:szCs w:val="24"/>
              </w:rPr>
              <w:t>20</w:t>
            </w:r>
            <w:r>
              <w:rPr>
                <w:rFonts w:ascii="Calibri" w:hAnsi="Calibri"/>
                <w:kern w:val="2"/>
                <w:sz w:val="24"/>
                <w:szCs w:val="24"/>
              </w:rPr>
              <w:t>%</w:t>
            </w:r>
          </w:p>
        </w:tc>
        <w:tc>
          <w:tcPr>
            <w:tcW w:w="5017" w:type="dxa"/>
            <w:shd w:val="clear" w:color="auto" w:fill="auto"/>
            <w:vAlign w:val="center"/>
          </w:tcPr>
          <w:p>
            <w:pPr>
              <w:adjustRightInd w:val="0"/>
              <w:snapToGrid w:val="0"/>
              <w:spacing w:line="360" w:lineRule="auto"/>
              <w:ind w:firstLine="420" w:firstLineChars="200"/>
              <w:rPr>
                <w:rFonts w:hint="eastAsia" w:ascii="Calibri" w:hAnsi="Calibri"/>
                <w:color w:val="000000" w:themeColor="text1"/>
                <w:kern w:val="2"/>
                <w:sz w:val="21"/>
                <w:szCs w:val="24"/>
                <w14:textFill>
                  <w14:solidFill>
                    <w14:schemeClr w14:val="tx1"/>
                  </w14:solidFill>
                </w14:textFill>
              </w:rPr>
            </w:pPr>
            <w:r>
              <w:rPr>
                <w:rFonts w:hint="eastAsia" w:ascii="Calibri" w:hAnsi="Calibri"/>
                <w:color w:val="000000" w:themeColor="text1"/>
                <w:kern w:val="2"/>
                <w:sz w:val="21"/>
                <w:szCs w:val="24"/>
                <w14:textFill>
                  <w14:solidFill>
                    <w14:schemeClr w14:val="tx1"/>
                  </w14:solidFill>
                </w14:textFill>
              </w:rPr>
              <w:t>1、运营管理思路清晰得10-20分；</w:t>
            </w:r>
          </w:p>
          <w:p>
            <w:pPr>
              <w:adjustRightInd w:val="0"/>
              <w:snapToGrid w:val="0"/>
              <w:spacing w:line="360" w:lineRule="auto"/>
              <w:ind w:firstLine="420" w:firstLineChars="200"/>
              <w:rPr>
                <w:rFonts w:hint="eastAsia" w:ascii="Calibri" w:hAnsi="Calibri"/>
                <w:color w:val="000000" w:themeColor="text1"/>
                <w:kern w:val="2"/>
                <w:sz w:val="21"/>
                <w:szCs w:val="24"/>
                <w14:textFill>
                  <w14:solidFill>
                    <w14:schemeClr w14:val="tx1"/>
                  </w14:solidFill>
                </w14:textFill>
              </w:rPr>
            </w:pPr>
            <w:r>
              <w:rPr>
                <w:rFonts w:hint="eastAsia" w:ascii="Calibri" w:hAnsi="Calibri"/>
                <w:color w:val="000000" w:themeColor="text1"/>
                <w:kern w:val="2"/>
                <w:sz w:val="21"/>
                <w:szCs w:val="24"/>
                <w14:textFill>
                  <w14:solidFill>
                    <w14:schemeClr w14:val="tx1"/>
                  </w14:solidFill>
                </w14:textFill>
              </w:rPr>
              <w:t>2、运营管理目标明确得10-20分；</w:t>
            </w:r>
          </w:p>
          <w:p>
            <w:pPr>
              <w:adjustRightInd w:val="0"/>
              <w:snapToGrid w:val="0"/>
              <w:spacing w:line="360" w:lineRule="auto"/>
              <w:ind w:firstLine="420" w:firstLineChars="200"/>
              <w:rPr>
                <w:rFonts w:hint="eastAsia" w:ascii="Calibri" w:hAnsi="Calibri"/>
                <w:color w:val="000000" w:themeColor="text1"/>
                <w:kern w:val="2"/>
                <w:sz w:val="21"/>
                <w:szCs w:val="24"/>
                <w14:textFill>
                  <w14:solidFill>
                    <w14:schemeClr w14:val="tx1"/>
                  </w14:solidFill>
                </w14:textFill>
              </w:rPr>
            </w:pPr>
            <w:r>
              <w:rPr>
                <w:rFonts w:hint="eastAsia" w:ascii="Calibri" w:hAnsi="Calibri"/>
                <w:color w:val="000000" w:themeColor="text1"/>
                <w:kern w:val="2"/>
                <w:sz w:val="21"/>
                <w:szCs w:val="24"/>
                <w14:textFill>
                  <w14:solidFill>
                    <w14:schemeClr w14:val="tx1"/>
                  </w14:solidFill>
                </w14:textFill>
              </w:rPr>
              <w:t>3、招商入驻企业重点突出，与唐山市“4+5+4”产业发展契合得10-30分；</w:t>
            </w:r>
          </w:p>
          <w:p>
            <w:pPr>
              <w:adjustRightInd w:val="0"/>
              <w:snapToGrid w:val="0"/>
              <w:spacing w:line="360" w:lineRule="auto"/>
              <w:ind w:firstLine="420" w:firstLineChars="200"/>
              <w:rPr>
                <w:rFonts w:hint="eastAsia" w:ascii="Calibri" w:hAnsi="Calibri"/>
                <w:color w:val="000000" w:themeColor="text1"/>
                <w:kern w:val="2"/>
                <w:sz w:val="21"/>
                <w:szCs w:val="24"/>
                <w14:textFill>
                  <w14:solidFill>
                    <w14:schemeClr w14:val="tx1"/>
                  </w14:solidFill>
                </w14:textFill>
              </w:rPr>
            </w:pPr>
            <w:r>
              <w:rPr>
                <w:rFonts w:hint="eastAsia" w:ascii="Calibri" w:hAnsi="Calibri"/>
                <w:color w:val="000000" w:themeColor="text1"/>
                <w:kern w:val="2"/>
                <w:sz w:val="21"/>
                <w:szCs w:val="24"/>
                <w14:textFill>
                  <w14:solidFill>
                    <w14:schemeClr w14:val="tx1"/>
                  </w14:solidFill>
                </w14:textFill>
              </w:rPr>
              <w:t>4、管理服务措施全面得10-30分。</w:t>
            </w:r>
          </w:p>
          <w:p>
            <w:pPr>
              <w:adjustRightInd w:val="0"/>
              <w:snapToGrid w:val="0"/>
              <w:spacing w:line="360" w:lineRule="auto"/>
              <w:ind w:firstLine="420" w:firstLineChars="200"/>
              <w:rPr>
                <w:rFonts w:ascii="Calibri" w:hAnsi="Calibri"/>
                <w:kern w:val="2"/>
                <w:sz w:val="21"/>
                <w:szCs w:val="24"/>
              </w:rPr>
            </w:pPr>
            <w:r>
              <w:rPr>
                <w:rFonts w:hint="eastAsia" w:ascii="Calibri" w:hAnsi="Calibri"/>
                <w:color w:val="000000" w:themeColor="text1"/>
                <w:kern w:val="2"/>
                <w:sz w:val="21"/>
                <w:szCs w:val="24"/>
                <w14:textFill>
                  <w14:solidFill>
                    <w14:schemeClr w14:val="tx1"/>
                  </w14:solidFill>
                </w14:textFill>
              </w:rPr>
              <w:t>最高得100分。</w:t>
            </w:r>
          </w:p>
        </w:tc>
        <w:tc>
          <w:tcPr>
            <w:tcW w:w="600" w:type="dxa"/>
            <w:shd w:val="clear" w:color="auto" w:fill="auto"/>
            <w:vAlign w:val="center"/>
          </w:tcPr>
          <w:p>
            <w:pP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80" w:type="dxa"/>
            <w:vMerge w:val="continue"/>
            <w:shd w:val="clear" w:color="auto" w:fill="auto"/>
            <w:vAlign w:val="center"/>
          </w:tcPr>
          <w:p>
            <w:pPr>
              <w:rPr>
                <w:rFonts w:ascii="Calibri" w:hAnsi="Calibri"/>
                <w:kern w:val="2"/>
                <w:sz w:val="21"/>
                <w:szCs w:val="24"/>
              </w:rPr>
            </w:pPr>
          </w:p>
        </w:tc>
        <w:tc>
          <w:tcPr>
            <w:tcW w:w="1428" w:type="dxa"/>
            <w:vMerge w:val="continue"/>
            <w:shd w:val="clear" w:color="auto" w:fill="auto"/>
            <w:vAlign w:val="center"/>
          </w:tcPr>
          <w:p>
            <w:pPr>
              <w:rPr>
                <w:rFonts w:ascii="Calibri" w:hAnsi="Calibri"/>
                <w:kern w:val="2"/>
                <w:sz w:val="21"/>
                <w:szCs w:val="24"/>
              </w:rPr>
            </w:pPr>
          </w:p>
        </w:tc>
        <w:tc>
          <w:tcPr>
            <w:tcW w:w="748" w:type="dxa"/>
            <w:shd w:val="clear" w:color="auto" w:fill="auto"/>
            <w:vAlign w:val="center"/>
          </w:tcPr>
          <w:p>
            <w:pPr>
              <w:spacing w:line="320" w:lineRule="exact"/>
              <w:jc w:val="center"/>
              <w:rPr>
                <w:rFonts w:ascii="Calibri" w:hAnsi="Calibri"/>
                <w:kern w:val="2"/>
                <w:sz w:val="21"/>
                <w:szCs w:val="24"/>
              </w:rPr>
            </w:pPr>
            <w:r>
              <w:rPr>
                <w:rFonts w:ascii="Calibri" w:hAnsi="Calibri"/>
                <w:kern w:val="2"/>
                <w:sz w:val="24"/>
                <w:szCs w:val="24"/>
              </w:rPr>
              <w:t>F8</w:t>
            </w:r>
          </w:p>
        </w:tc>
        <w:tc>
          <w:tcPr>
            <w:tcW w:w="1030" w:type="dxa"/>
            <w:shd w:val="clear" w:color="auto" w:fill="auto"/>
            <w:vAlign w:val="center"/>
          </w:tcPr>
          <w:p>
            <w:pPr>
              <w:rPr>
                <w:rFonts w:ascii="Calibri" w:hAnsi="Calibri"/>
                <w:kern w:val="2"/>
                <w:sz w:val="21"/>
                <w:szCs w:val="24"/>
              </w:rPr>
            </w:pPr>
            <w:r>
              <w:rPr>
                <w:rFonts w:ascii="Calibri" w:hAnsi="Calibri"/>
                <w:kern w:val="2"/>
                <w:sz w:val="24"/>
                <w:szCs w:val="24"/>
              </w:rPr>
              <w:t>A</w:t>
            </w:r>
            <w:r>
              <w:rPr>
                <w:rFonts w:hint="eastAsia" w:ascii="Calibri" w:hAnsi="Calibri"/>
                <w:kern w:val="2"/>
                <w:sz w:val="24"/>
                <w:szCs w:val="24"/>
                <w:lang w:val="en-US" w:eastAsia="zh-CN"/>
              </w:rPr>
              <w:t>8</w:t>
            </w:r>
            <w:r>
              <w:rPr>
                <w:rFonts w:ascii="Calibri" w:hAnsi="Calibri"/>
                <w:kern w:val="2"/>
                <w:sz w:val="24"/>
                <w:szCs w:val="24"/>
              </w:rPr>
              <w:t>=</w:t>
            </w:r>
            <w:r>
              <w:rPr>
                <w:rFonts w:hint="eastAsia" w:ascii="Calibri" w:hAnsi="Calibri"/>
                <w:kern w:val="2"/>
                <w:sz w:val="21"/>
                <w:szCs w:val="24"/>
              </w:rPr>
              <w:t>10</w:t>
            </w:r>
            <w:r>
              <w:rPr>
                <w:rFonts w:ascii="Calibri" w:hAnsi="Calibri"/>
                <w:kern w:val="2"/>
                <w:sz w:val="24"/>
                <w:szCs w:val="24"/>
              </w:rPr>
              <w:t>%</w:t>
            </w:r>
          </w:p>
        </w:tc>
        <w:tc>
          <w:tcPr>
            <w:tcW w:w="5017" w:type="dxa"/>
            <w:shd w:val="clear" w:color="auto" w:fill="auto"/>
            <w:vAlign w:val="center"/>
          </w:tcPr>
          <w:p>
            <w:pPr>
              <w:adjustRightInd w:val="0"/>
              <w:snapToGrid w:val="0"/>
              <w:spacing w:line="360" w:lineRule="auto"/>
              <w:ind w:firstLine="420" w:firstLineChars="200"/>
              <w:rPr>
                <w:rFonts w:hint="default" w:ascii="Calibri" w:hAnsi="Calibri" w:eastAsia="宋体"/>
                <w:kern w:val="2"/>
                <w:sz w:val="21"/>
                <w:szCs w:val="24"/>
                <w:lang w:val="en-US" w:eastAsia="zh-CN"/>
              </w:rPr>
            </w:pPr>
            <w:r>
              <w:rPr>
                <w:rFonts w:hint="eastAsia" w:ascii="Calibri" w:hAnsi="Calibri"/>
                <w:color w:val="auto"/>
                <w:kern w:val="2"/>
                <w:sz w:val="21"/>
                <w:szCs w:val="24"/>
                <w:lang w:val="en-US" w:eastAsia="zh-CN"/>
              </w:rPr>
              <w:t>根据创业基地需求编制</w:t>
            </w:r>
            <w:r>
              <w:rPr>
                <w:rFonts w:hint="eastAsia" w:ascii="Calibri" w:hAnsi="Calibri"/>
                <w:color w:val="auto"/>
                <w:kern w:val="2"/>
                <w:sz w:val="21"/>
                <w:szCs w:val="24"/>
              </w:rPr>
              <w:t>管理制度</w:t>
            </w:r>
            <w:r>
              <w:rPr>
                <w:rFonts w:hint="eastAsia" w:ascii="Calibri" w:hAnsi="Calibri"/>
                <w:color w:val="auto"/>
                <w:kern w:val="2"/>
                <w:sz w:val="21"/>
                <w:szCs w:val="24"/>
                <w:lang w:eastAsia="zh-CN"/>
              </w:rPr>
              <w:t>：</w:t>
            </w:r>
            <w:r>
              <w:rPr>
                <w:rFonts w:hint="eastAsia" w:ascii="Calibri" w:hAnsi="Calibri"/>
                <w:color w:val="auto"/>
                <w:kern w:val="2"/>
                <w:sz w:val="21"/>
                <w:szCs w:val="24"/>
              </w:rPr>
              <w:t>财务管理制度；档案管理制度；安全保卫工作制度；考勤管理制度；员工年度考核实施办法；消防安全管理制度及预案；应急管理制度等（包括并不限于此）。</w:t>
            </w:r>
            <w:r>
              <w:rPr>
                <w:rFonts w:hint="eastAsia" w:ascii="Calibri" w:hAnsi="Calibri"/>
                <w:color w:val="auto"/>
                <w:kern w:val="2"/>
                <w:sz w:val="21"/>
                <w:szCs w:val="24"/>
                <w:lang w:val="en-US" w:eastAsia="zh-CN"/>
              </w:rPr>
              <w:t>得60—100分，未提供不得分。</w:t>
            </w:r>
          </w:p>
        </w:tc>
        <w:tc>
          <w:tcPr>
            <w:tcW w:w="600" w:type="dxa"/>
            <w:shd w:val="clear" w:color="auto" w:fill="auto"/>
            <w:vAlign w:val="center"/>
          </w:tcPr>
          <w:p>
            <w:pP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80" w:type="dxa"/>
            <w:shd w:val="clear" w:color="auto" w:fill="auto"/>
            <w:vAlign w:val="center"/>
          </w:tcPr>
          <w:p>
            <w:pPr>
              <w:jc w:val="center"/>
              <w:rPr>
                <w:rFonts w:ascii="Calibri" w:hAnsi="Calibri"/>
                <w:kern w:val="2"/>
                <w:sz w:val="21"/>
                <w:szCs w:val="24"/>
              </w:rPr>
            </w:pPr>
            <w:r>
              <w:rPr>
                <w:rFonts w:hint="eastAsia" w:ascii="Calibri" w:hAnsi="Calibri"/>
                <w:kern w:val="2"/>
                <w:sz w:val="21"/>
                <w:szCs w:val="24"/>
              </w:rPr>
              <w:t>4</w:t>
            </w:r>
          </w:p>
        </w:tc>
        <w:tc>
          <w:tcPr>
            <w:tcW w:w="1428" w:type="dxa"/>
            <w:shd w:val="clear" w:color="auto" w:fill="auto"/>
            <w:vAlign w:val="center"/>
          </w:tcPr>
          <w:p>
            <w:pPr>
              <w:rPr>
                <w:rFonts w:ascii="Calibri" w:hAnsi="Calibri"/>
                <w:kern w:val="2"/>
                <w:sz w:val="21"/>
                <w:szCs w:val="24"/>
              </w:rPr>
            </w:pPr>
            <w:r>
              <w:rPr>
                <w:rFonts w:hint="eastAsia" w:ascii="Calibri" w:hAnsi="Calibri"/>
                <w:kern w:val="2"/>
                <w:sz w:val="21"/>
                <w:szCs w:val="24"/>
              </w:rPr>
              <w:t>业绩</w:t>
            </w:r>
          </w:p>
        </w:tc>
        <w:tc>
          <w:tcPr>
            <w:tcW w:w="748" w:type="dxa"/>
            <w:shd w:val="clear" w:color="auto" w:fill="auto"/>
            <w:vAlign w:val="center"/>
          </w:tcPr>
          <w:p>
            <w:pPr>
              <w:spacing w:line="320" w:lineRule="exact"/>
              <w:jc w:val="center"/>
              <w:rPr>
                <w:rFonts w:ascii="Calibri" w:hAnsi="Calibri"/>
                <w:kern w:val="2"/>
                <w:sz w:val="21"/>
                <w:szCs w:val="24"/>
              </w:rPr>
            </w:pPr>
            <w:r>
              <w:rPr>
                <w:rFonts w:ascii="Calibri" w:hAnsi="Calibri"/>
                <w:kern w:val="2"/>
                <w:sz w:val="24"/>
                <w:szCs w:val="24"/>
              </w:rPr>
              <w:t>F</w:t>
            </w:r>
            <w:r>
              <w:rPr>
                <w:rFonts w:hint="eastAsia" w:ascii="Calibri" w:hAnsi="Calibri"/>
                <w:kern w:val="2"/>
                <w:sz w:val="24"/>
                <w:szCs w:val="24"/>
              </w:rPr>
              <w:t>9</w:t>
            </w:r>
          </w:p>
        </w:tc>
        <w:tc>
          <w:tcPr>
            <w:tcW w:w="1030" w:type="dxa"/>
            <w:shd w:val="clear" w:color="auto" w:fill="auto"/>
            <w:vAlign w:val="center"/>
          </w:tcPr>
          <w:p>
            <w:pPr>
              <w:rPr>
                <w:rFonts w:ascii="Calibri" w:hAnsi="Calibri"/>
                <w:kern w:val="2"/>
                <w:sz w:val="21"/>
                <w:szCs w:val="24"/>
              </w:rPr>
            </w:pPr>
            <w:r>
              <w:rPr>
                <w:rFonts w:ascii="Calibri" w:hAnsi="Calibri"/>
                <w:kern w:val="2"/>
                <w:sz w:val="24"/>
                <w:szCs w:val="24"/>
              </w:rPr>
              <w:t>A</w:t>
            </w:r>
            <w:r>
              <w:rPr>
                <w:rFonts w:hint="eastAsia" w:ascii="Calibri" w:hAnsi="Calibri"/>
                <w:kern w:val="2"/>
                <w:sz w:val="24"/>
                <w:szCs w:val="24"/>
              </w:rPr>
              <w:t>9</w:t>
            </w:r>
            <w:r>
              <w:rPr>
                <w:rFonts w:ascii="Calibri" w:hAnsi="Calibri"/>
                <w:kern w:val="2"/>
                <w:sz w:val="24"/>
                <w:szCs w:val="24"/>
              </w:rPr>
              <w:t>=</w:t>
            </w:r>
            <w:r>
              <w:rPr>
                <w:rFonts w:hint="eastAsia" w:ascii="Calibri" w:hAnsi="Calibri"/>
                <w:kern w:val="2"/>
                <w:sz w:val="21"/>
                <w:szCs w:val="24"/>
              </w:rPr>
              <w:t>10</w:t>
            </w:r>
            <w:r>
              <w:rPr>
                <w:rFonts w:ascii="Calibri" w:hAnsi="Calibri"/>
                <w:kern w:val="2"/>
                <w:sz w:val="24"/>
                <w:szCs w:val="24"/>
              </w:rPr>
              <w:t>%</w:t>
            </w:r>
          </w:p>
        </w:tc>
        <w:tc>
          <w:tcPr>
            <w:tcW w:w="5017" w:type="dxa"/>
            <w:shd w:val="clear" w:color="auto" w:fill="auto"/>
            <w:vAlign w:val="center"/>
          </w:tcPr>
          <w:p>
            <w:pPr>
              <w:adjustRightInd w:val="0"/>
              <w:snapToGrid w:val="0"/>
              <w:spacing w:line="360" w:lineRule="auto"/>
              <w:ind w:firstLine="420" w:firstLineChars="200"/>
              <w:rPr>
                <w:rFonts w:hint="default" w:ascii="Calibri" w:hAnsi="Calibri"/>
                <w:color w:val="auto"/>
                <w:kern w:val="2"/>
                <w:sz w:val="21"/>
                <w:szCs w:val="24"/>
                <w:lang w:val="en-US" w:eastAsia="zh-CN"/>
              </w:rPr>
            </w:pPr>
            <w:r>
              <w:rPr>
                <w:rFonts w:hint="eastAsia" w:ascii="Calibri" w:hAnsi="Calibri"/>
                <w:color w:val="auto"/>
                <w:kern w:val="2"/>
                <w:sz w:val="21"/>
                <w:szCs w:val="24"/>
                <w:lang w:val="en-US" w:eastAsia="zh-CN"/>
              </w:rPr>
              <w:t>1、</w:t>
            </w:r>
            <w:r>
              <w:rPr>
                <w:rFonts w:hint="eastAsia" w:ascii="Calibri" w:hAnsi="Calibri"/>
                <w:color w:val="auto"/>
                <w:kern w:val="2"/>
                <w:sz w:val="21"/>
                <w:szCs w:val="24"/>
              </w:rPr>
              <w:t>近三年（2017年1月1日至今）具备科技服务平台成功运营经验的，</w:t>
            </w:r>
            <w:r>
              <w:rPr>
                <w:rFonts w:hint="eastAsia" w:ascii="Calibri" w:hAnsi="Calibri"/>
                <w:color w:val="auto"/>
                <w:kern w:val="2"/>
                <w:sz w:val="21"/>
                <w:szCs w:val="24"/>
                <w:lang w:val="en-US" w:eastAsia="zh-CN"/>
              </w:rPr>
              <w:t>一个项目</w:t>
            </w:r>
            <w:r>
              <w:rPr>
                <w:rFonts w:hint="eastAsia" w:ascii="Calibri" w:hAnsi="Calibri"/>
                <w:color w:val="auto"/>
                <w:kern w:val="2"/>
                <w:sz w:val="21"/>
                <w:szCs w:val="24"/>
              </w:rPr>
              <w:t>得</w:t>
            </w:r>
            <w:r>
              <w:rPr>
                <w:rFonts w:hint="eastAsia" w:ascii="Calibri" w:hAnsi="Calibri"/>
                <w:color w:val="auto"/>
                <w:kern w:val="2"/>
                <w:sz w:val="21"/>
                <w:szCs w:val="24"/>
                <w:lang w:val="en-US" w:eastAsia="zh-CN"/>
              </w:rPr>
              <w:t>25</w:t>
            </w:r>
            <w:r>
              <w:rPr>
                <w:rFonts w:hint="eastAsia" w:ascii="Calibri" w:hAnsi="Calibri"/>
                <w:color w:val="auto"/>
                <w:kern w:val="2"/>
                <w:sz w:val="21"/>
                <w:szCs w:val="24"/>
              </w:rPr>
              <w:t>分</w:t>
            </w:r>
            <w:r>
              <w:rPr>
                <w:rFonts w:hint="eastAsia" w:ascii="Calibri" w:hAnsi="Calibri"/>
                <w:color w:val="auto"/>
                <w:kern w:val="2"/>
                <w:sz w:val="21"/>
                <w:szCs w:val="24"/>
                <w:lang w:eastAsia="zh-CN"/>
              </w:rPr>
              <w:t>，</w:t>
            </w:r>
            <w:r>
              <w:rPr>
                <w:rFonts w:hint="eastAsia" w:ascii="Calibri" w:hAnsi="Calibri"/>
                <w:color w:val="auto"/>
                <w:kern w:val="2"/>
                <w:sz w:val="21"/>
                <w:szCs w:val="24"/>
                <w:lang w:val="en-US" w:eastAsia="zh-CN"/>
              </w:rPr>
              <w:t>最高得50分。</w:t>
            </w:r>
          </w:p>
          <w:p>
            <w:pPr>
              <w:adjustRightInd w:val="0"/>
              <w:snapToGrid w:val="0"/>
              <w:spacing w:line="360" w:lineRule="auto"/>
              <w:ind w:firstLine="420" w:firstLineChars="200"/>
              <w:rPr>
                <w:rFonts w:hint="eastAsia" w:ascii="Calibri" w:hAnsi="Calibri"/>
                <w:color w:val="auto"/>
                <w:kern w:val="2"/>
                <w:sz w:val="21"/>
                <w:szCs w:val="24"/>
              </w:rPr>
            </w:pPr>
            <w:r>
              <w:rPr>
                <w:rFonts w:hint="eastAsia" w:ascii="Calibri" w:hAnsi="Calibri"/>
                <w:color w:val="auto"/>
                <w:kern w:val="2"/>
                <w:sz w:val="21"/>
                <w:szCs w:val="24"/>
                <w:lang w:val="en-US" w:eastAsia="zh-CN"/>
              </w:rPr>
              <w:t>2、</w:t>
            </w:r>
            <w:r>
              <w:rPr>
                <w:rFonts w:hint="eastAsia" w:ascii="Calibri" w:hAnsi="Calibri"/>
                <w:color w:val="auto"/>
                <w:kern w:val="2"/>
                <w:sz w:val="21"/>
                <w:szCs w:val="24"/>
              </w:rPr>
              <w:t>近三年（2017年1月1日至今）运营与科技工作者创新创业基地规模（800平米以下）、性质（科技创新创业）类似的基地获得市级以上奖励，得50分。</w:t>
            </w:r>
          </w:p>
          <w:p>
            <w:pPr>
              <w:adjustRightInd w:val="0"/>
              <w:snapToGrid w:val="0"/>
              <w:spacing w:line="360" w:lineRule="auto"/>
              <w:ind w:firstLine="420" w:firstLineChars="200"/>
              <w:rPr>
                <w:rFonts w:ascii="Calibri" w:hAnsi="Calibri"/>
                <w:kern w:val="2"/>
                <w:sz w:val="21"/>
                <w:szCs w:val="24"/>
              </w:rPr>
            </w:pPr>
            <w:r>
              <w:rPr>
                <w:rFonts w:hint="eastAsia" w:ascii="Calibri" w:hAnsi="Calibri"/>
                <w:color w:val="auto"/>
                <w:kern w:val="2"/>
                <w:sz w:val="21"/>
                <w:szCs w:val="24"/>
                <w:lang w:val="en-US" w:eastAsia="zh-CN"/>
              </w:rPr>
              <w:t>最高得100分，需提供合同及奖励证书，</w:t>
            </w:r>
            <w:r>
              <w:rPr>
                <w:rFonts w:hint="eastAsia" w:ascii="Calibri" w:hAnsi="Calibri"/>
                <w:color w:val="auto"/>
                <w:kern w:val="2"/>
                <w:sz w:val="21"/>
                <w:szCs w:val="24"/>
              </w:rPr>
              <w:t>未提供不得分。</w:t>
            </w:r>
          </w:p>
        </w:tc>
        <w:tc>
          <w:tcPr>
            <w:tcW w:w="600" w:type="dxa"/>
            <w:shd w:val="clear" w:color="auto" w:fill="auto"/>
            <w:vAlign w:val="center"/>
          </w:tcPr>
          <w:p>
            <w:pPr>
              <w:rPr>
                <w:rFonts w:ascii="Calibri" w:hAnsi="Calibri"/>
                <w:kern w:val="2"/>
                <w:sz w:val="21"/>
                <w:szCs w:val="24"/>
              </w:rPr>
            </w:pPr>
          </w:p>
        </w:tc>
      </w:tr>
    </w:tbl>
    <w:p>
      <w:pPr>
        <w:rPr>
          <w:sz w:val="24"/>
          <w:szCs w:val="24"/>
        </w:rPr>
      </w:pPr>
    </w:p>
    <w:p>
      <w:pPr>
        <w:ind w:firstLine="480" w:firstLineChars="200"/>
        <w:rPr>
          <w:sz w:val="24"/>
          <w:szCs w:val="24"/>
        </w:rPr>
      </w:pPr>
      <w:r>
        <w:rPr>
          <w:rFonts w:hint="eastAsia"/>
          <w:sz w:val="24"/>
          <w:szCs w:val="24"/>
        </w:rPr>
        <w:t>注：要求供应商提供原件的在评标时必须携带原件，由评委进行核查，未携带原件或携带的原件与投标书的复印件不一致时，该项均不得记分。</w:t>
      </w:r>
    </w:p>
    <w:p>
      <w:pPr>
        <w:ind w:firstLine="480" w:firstLineChars="200"/>
        <w:rPr>
          <w:sz w:val="24"/>
          <w:szCs w:val="24"/>
        </w:rPr>
      </w:pPr>
      <w:r>
        <w:rPr>
          <w:rFonts w:hint="eastAsia"/>
          <w:sz w:val="24"/>
          <w:szCs w:val="24"/>
        </w:rPr>
        <w:t>评标时，评标委员会各成员应当独立对每个投标人的投标文件进行评价，并汇总每个投标人的得分。</w:t>
      </w:r>
    </w:p>
    <w:p>
      <w:pPr>
        <w:ind w:firstLine="480" w:firstLineChars="200"/>
        <w:rPr>
          <w:sz w:val="24"/>
          <w:szCs w:val="24"/>
        </w:rPr>
      </w:pPr>
      <w:r>
        <w:rPr>
          <w:rFonts w:hint="eastAsia"/>
          <w:sz w:val="24"/>
          <w:szCs w:val="24"/>
        </w:rPr>
        <w:t>评标总得分＝</w:t>
      </w:r>
      <w:r>
        <w:rPr>
          <w:sz w:val="24"/>
          <w:szCs w:val="24"/>
        </w:rPr>
        <w:t>F1</w:t>
      </w:r>
      <w:r>
        <w:rPr>
          <w:rFonts w:hint="eastAsia"/>
          <w:sz w:val="24"/>
          <w:szCs w:val="24"/>
        </w:rPr>
        <w:t>×</w:t>
      </w:r>
      <w:r>
        <w:rPr>
          <w:sz w:val="24"/>
          <w:szCs w:val="24"/>
        </w:rPr>
        <w:t>A1</w:t>
      </w:r>
      <w:r>
        <w:rPr>
          <w:rFonts w:hint="eastAsia"/>
          <w:sz w:val="24"/>
          <w:szCs w:val="24"/>
        </w:rPr>
        <w:t>＋</w:t>
      </w:r>
      <w:r>
        <w:rPr>
          <w:sz w:val="24"/>
          <w:szCs w:val="24"/>
        </w:rPr>
        <w:t>F2</w:t>
      </w:r>
      <w:r>
        <w:rPr>
          <w:rFonts w:hint="eastAsia"/>
          <w:sz w:val="24"/>
          <w:szCs w:val="24"/>
        </w:rPr>
        <w:t>×</w:t>
      </w:r>
      <w:r>
        <w:rPr>
          <w:sz w:val="24"/>
          <w:szCs w:val="24"/>
        </w:rPr>
        <w:t>A2</w:t>
      </w:r>
      <w:r>
        <w:rPr>
          <w:rFonts w:hint="eastAsia"/>
          <w:sz w:val="24"/>
          <w:szCs w:val="24"/>
        </w:rPr>
        <w:t>＋……＋</w:t>
      </w:r>
      <w:r>
        <w:rPr>
          <w:sz w:val="24"/>
          <w:szCs w:val="24"/>
        </w:rPr>
        <w:t>Fn</w:t>
      </w:r>
      <w:r>
        <w:rPr>
          <w:rFonts w:hint="eastAsia"/>
          <w:sz w:val="24"/>
          <w:szCs w:val="24"/>
        </w:rPr>
        <w:t>×</w:t>
      </w:r>
      <w:r>
        <w:rPr>
          <w:sz w:val="24"/>
          <w:szCs w:val="24"/>
        </w:rPr>
        <w:t>An</w:t>
      </w:r>
    </w:p>
    <w:p>
      <w:pPr>
        <w:ind w:firstLine="480" w:firstLineChars="200"/>
        <w:rPr>
          <w:sz w:val="24"/>
          <w:szCs w:val="24"/>
        </w:rPr>
      </w:pPr>
      <w:r>
        <w:rPr>
          <w:sz w:val="24"/>
          <w:szCs w:val="24"/>
        </w:rPr>
        <w:t>F1</w:t>
      </w:r>
      <w:r>
        <w:rPr>
          <w:rFonts w:hint="eastAsia"/>
          <w:sz w:val="24"/>
          <w:szCs w:val="24"/>
        </w:rPr>
        <w:t>、</w:t>
      </w:r>
      <w:r>
        <w:rPr>
          <w:sz w:val="24"/>
          <w:szCs w:val="24"/>
        </w:rPr>
        <w:t>F2</w:t>
      </w:r>
      <w:r>
        <w:rPr>
          <w:rFonts w:hint="eastAsia"/>
          <w:sz w:val="24"/>
          <w:szCs w:val="24"/>
        </w:rPr>
        <w:t>……</w:t>
      </w:r>
      <w:r>
        <w:rPr>
          <w:sz w:val="24"/>
          <w:szCs w:val="24"/>
        </w:rPr>
        <w:t>Fn</w:t>
      </w:r>
      <w:r>
        <w:rPr>
          <w:rFonts w:hint="eastAsia"/>
          <w:sz w:val="24"/>
          <w:szCs w:val="24"/>
        </w:rPr>
        <w:t>分别为各项评审因素的得分；</w:t>
      </w:r>
    </w:p>
    <w:p>
      <w:pPr>
        <w:ind w:firstLine="480" w:firstLineChars="200"/>
        <w:rPr>
          <w:sz w:val="24"/>
          <w:szCs w:val="24"/>
        </w:rPr>
      </w:pPr>
      <w:r>
        <w:rPr>
          <w:sz w:val="24"/>
          <w:szCs w:val="24"/>
        </w:rPr>
        <w:t>A1</w:t>
      </w:r>
      <w:r>
        <w:rPr>
          <w:rFonts w:hint="eastAsia"/>
          <w:sz w:val="24"/>
          <w:szCs w:val="24"/>
        </w:rPr>
        <w:t>、</w:t>
      </w:r>
      <w:r>
        <w:rPr>
          <w:sz w:val="24"/>
          <w:szCs w:val="24"/>
        </w:rPr>
        <w:t>A2</w:t>
      </w:r>
      <w:r>
        <w:rPr>
          <w:rFonts w:hint="eastAsia"/>
          <w:sz w:val="24"/>
          <w:szCs w:val="24"/>
        </w:rPr>
        <w:t>、……</w:t>
      </w:r>
      <w:r>
        <w:rPr>
          <w:sz w:val="24"/>
          <w:szCs w:val="24"/>
        </w:rPr>
        <w:t xml:space="preserve">An </w:t>
      </w:r>
      <w:r>
        <w:rPr>
          <w:rFonts w:hint="eastAsia"/>
          <w:sz w:val="24"/>
          <w:szCs w:val="24"/>
        </w:rPr>
        <w:t>分别为各项评审因素所占的权重</w:t>
      </w:r>
      <w:r>
        <w:rPr>
          <w:sz w:val="24"/>
          <w:szCs w:val="24"/>
        </w:rPr>
        <w:t>(A1</w:t>
      </w:r>
      <w:r>
        <w:rPr>
          <w:rFonts w:hint="eastAsia"/>
          <w:sz w:val="24"/>
          <w:szCs w:val="24"/>
        </w:rPr>
        <w:t>＋</w:t>
      </w:r>
      <w:r>
        <w:rPr>
          <w:sz w:val="24"/>
          <w:szCs w:val="24"/>
        </w:rPr>
        <w:t>A2</w:t>
      </w:r>
      <w:r>
        <w:rPr>
          <w:rFonts w:hint="eastAsia"/>
          <w:sz w:val="24"/>
          <w:szCs w:val="24"/>
        </w:rPr>
        <w:t>＋……＋</w:t>
      </w:r>
      <w:r>
        <w:rPr>
          <w:sz w:val="24"/>
          <w:szCs w:val="24"/>
        </w:rPr>
        <w:t>An</w:t>
      </w:r>
      <w:r>
        <w:rPr>
          <w:rFonts w:hint="eastAsia"/>
          <w:sz w:val="24"/>
          <w:szCs w:val="24"/>
        </w:rPr>
        <w:t>＝</w:t>
      </w:r>
      <w:r>
        <w:rPr>
          <w:sz w:val="24"/>
          <w:szCs w:val="24"/>
        </w:rPr>
        <w:t>1)</w:t>
      </w:r>
      <w:r>
        <w:rPr>
          <w:rFonts w:hint="eastAsia"/>
          <w:sz w:val="24"/>
          <w:szCs w:val="24"/>
        </w:rPr>
        <w:t>。</w:t>
      </w:r>
    </w:p>
    <w:p>
      <w:pPr>
        <w:ind w:firstLine="480" w:firstLineChars="200"/>
        <w:rPr>
          <w:sz w:val="24"/>
          <w:szCs w:val="24"/>
        </w:rPr>
      </w:pPr>
    </w:p>
    <w:p>
      <w:pPr>
        <w:jc w:val="center"/>
        <w:outlineLvl w:val="0"/>
        <w:rPr>
          <w:rFonts w:ascii="楷体_GB2312" w:eastAsia="楷体_GB2312"/>
          <w:b/>
          <w:sz w:val="44"/>
        </w:rPr>
      </w:pPr>
      <w:r>
        <w:rPr>
          <w:rFonts w:hint="eastAsia" w:ascii="楷体_GB2312" w:eastAsia="楷体_GB2312"/>
          <w:b/>
          <w:sz w:val="44"/>
        </w:rPr>
        <w:br w:type="page"/>
      </w:r>
    </w:p>
    <w:p>
      <w:pPr>
        <w:jc w:val="center"/>
        <w:outlineLvl w:val="0"/>
        <w:rPr>
          <w:rFonts w:ascii="楷体_GB2312" w:eastAsia="楷体_GB2312"/>
          <w:b/>
          <w:sz w:val="44"/>
        </w:rPr>
      </w:pPr>
      <w:bookmarkStart w:id="4" w:name="_Toc11938055"/>
      <w:r>
        <w:rPr>
          <w:rFonts w:hint="eastAsia" w:ascii="楷体_GB2312" w:eastAsia="楷体_GB2312"/>
          <w:b/>
          <w:sz w:val="44"/>
        </w:rPr>
        <w:t>第三部分  投标人须知</w:t>
      </w:r>
      <w:bookmarkEnd w:id="4"/>
    </w:p>
    <w:p>
      <w:pPr>
        <w:jc w:val="center"/>
        <w:outlineLvl w:val="1"/>
        <w:rPr>
          <w:b/>
        </w:rPr>
      </w:pPr>
      <w:r>
        <w:rPr>
          <w:rFonts w:hint="eastAsia"/>
          <w:b/>
        </w:rPr>
        <w:t>一、招标文件说明</w:t>
      </w:r>
    </w:p>
    <w:p>
      <w:pPr>
        <w:widowControl/>
        <w:snapToGrid w:val="0"/>
        <w:spacing w:line="360" w:lineRule="auto"/>
        <w:ind w:firstLine="480"/>
        <w:rPr>
          <w:b/>
          <w:sz w:val="24"/>
        </w:rPr>
      </w:pPr>
      <w:r>
        <w:rPr>
          <w:rFonts w:hint="eastAsia"/>
          <w:b/>
          <w:sz w:val="24"/>
        </w:rPr>
        <w:t>（一）重要提示</w:t>
      </w:r>
    </w:p>
    <w:p>
      <w:pPr>
        <w:adjustRightInd w:val="0"/>
        <w:snapToGrid w:val="0"/>
        <w:spacing w:line="360" w:lineRule="auto"/>
        <w:ind w:firstLine="482" w:firstLineChars="200"/>
        <w:rPr>
          <w:b/>
          <w:sz w:val="24"/>
        </w:rPr>
      </w:pPr>
      <w:r>
        <w:rPr>
          <w:rFonts w:hint="eastAsia"/>
          <w:b/>
          <w:sz w:val="24"/>
        </w:rPr>
        <w:t>投标人应当按照招标文件的要求编制投标文件。投标文件应当对招标文件提出的要求和条件作出明确响应。</w:t>
      </w:r>
    </w:p>
    <w:p>
      <w:pPr>
        <w:ind w:firstLine="477" w:firstLineChars="198"/>
        <w:rPr>
          <w:b/>
          <w:sz w:val="24"/>
        </w:rPr>
      </w:pPr>
      <w:r>
        <w:rPr>
          <w:rFonts w:hint="eastAsia"/>
          <w:b/>
          <w:sz w:val="24"/>
        </w:rPr>
        <w:t>投标人必须认真阅读本招标文件，充分理解招标项目的全部内容，并根据招标文件要求，提供符合采购人需求并和实际情况一致的、具有可操作性的详细的解决方案。投标人没有按照招标文件要求提交全部资料，或者投标文件中没有对招标文件的要求在各方面都作出实质性响应是投标人的风险，可能导致其投标文件被拒绝。</w:t>
      </w:r>
    </w:p>
    <w:p>
      <w:pPr>
        <w:ind w:firstLine="482" w:firstLineChars="200"/>
        <w:rPr>
          <w:b/>
          <w:bCs/>
          <w:sz w:val="24"/>
          <w:szCs w:val="24"/>
        </w:rPr>
      </w:pPr>
      <w:r>
        <w:rPr>
          <w:rFonts w:hint="eastAsia"/>
          <w:b/>
          <w:bCs/>
          <w:sz w:val="24"/>
          <w:szCs w:val="24"/>
        </w:rPr>
        <w:t>（二）招标文件构成</w:t>
      </w:r>
    </w:p>
    <w:p>
      <w:pPr>
        <w:ind w:firstLine="480" w:firstLineChars="200"/>
        <w:rPr>
          <w:rFonts w:ascii="黑体"/>
          <w:bCs/>
          <w:sz w:val="24"/>
        </w:rPr>
      </w:pPr>
      <w:r>
        <w:rPr>
          <w:rFonts w:hint="eastAsia" w:cs="宋体"/>
          <w:sz w:val="24"/>
        </w:rPr>
        <w:fldChar w:fldCharType="begin"/>
      </w:r>
      <w:r>
        <w:rPr>
          <w:rFonts w:hint="eastAsia" w:cs="宋体"/>
          <w:sz w:val="24"/>
        </w:rPr>
        <w:instrText xml:space="preserve"> TOC \o "1-1" \h \z \u </w:instrText>
      </w:r>
      <w:r>
        <w:rPr>
          <w:rFonts w:hint="eastAsia" w:cs="宋体"/>
          <w:sz w:val="24"/>
        </w:rPr>
        <w:fldChar w:fldCharType="separate"/>
      </w:r>
      <w:r>
        <w:rPr>
          <w:rFonts w:hint="eastAsia" w:ascii="黑体"/>
          <w:bCs/>
          <w:sz w:val="24"/>
        </w:rPr>
        <w:t>第一部分</w:t>
      </w:r>
      <w:r>
        <w:rPr>
          <w:rFonts w:ascii="黑体"/>
          <w:bCs/>
          <w:sz w:val="24"/>
        </w:rPr>
        <w:t xml:space="preserve">  投标邀请函</w:t>
      </w:r>
    </w:p>
    <w:p>
      <w:pPr>
        <w:ind w:firstLine="480" w:firstLineChars="200"/>
        <w:rPr>
          <w:rFonts w:ascii="黑体"/>
          <w:bCs/>
          <w:sz w:val="24"/>
        </w:rPr>
      </w:pPr>
      <w:r>
        <w:rPr>
          <w:rFonts w:hint="eastAsia" w:ascii="黑体"/>
          <w:bCs/>
          <w:sz w:val="24"/>
        </w:rPr>
        <w:t>第二部分</w:t>
      </w:r>
      <w:r>
        <w:rPr>
          <w:rFonts w:ascii="黑体"/>
          <w:bCs/>
          <w:sz w:val="24"/>
        </w:rPr>
        <w:t xml:space="preserve">  采购项目的相关要求</w:t>
      </w:r>
    </w:p>
    <w:p>
      <w:pPr>
        <w:ind w:firstLine="480" w:firstLineChars="200"/>
        <w:rPr>
          <w:rFonts w:ascii="黑体"/>
          <w:bCs/>
          <w:sz w:val="24"/>
        </w:rPr>
      </w:pPr>
      <w:r>
        <w:rPr>
          <w:rFonts w:hint="eastAsia" w:ascii="黑体"/>
          <w:bCs/>
          <w:sz w:val="24"/>
        </w:rPr>
        <w:t>第三部分</w:t>
      </w:r>
      <w:r>
        <w:rPr>
          <w:rFonts w:ascii="黑体"/>
          <w:bCs/>
          <w:sz w:val="24"/>
        </w:rPr>
        <w:t xml:space="preserve">  投标人须知</w:t>
      </w:r>
    </w:p>
    <w:p>
      <w:pPr>
        <w:ind w:firstLine="480" w:firstLineChars="200"/>
        <w:rPr>
          <w:rFonts w:ascii="黑体"/>
          <w:bCs/>
          <w:sz w:val="24"/>
        </w:rPr>
      </w:pPr>
      <w:r>
        <w:rPr>
          <w:rFonts w:hint="eastAsia" w:ascii="黑体"/>
          <w:bCs/>
          <w:sz w:val="24"/>
        </w:rPr>
        <w:t>第四部分　政府采购合同</w:t>
      </w:r>
    </w:p>
    <w:p>
      <w:pPr>
        <w:ind w:firstLine="480" w:firstLineChars="200"/>
        <w:rPr>
          <w:rFonts w:ascii="黑体" w:eastAsia="黑体"/>
          <w:bCs/>
          <w:sz w:val="24"/>
        </w:rPr>
      </w:pPr>
      <w:r>
        <w:rPr>
          <w:rFonts w:hint="eastAsia" w:ascii="黑体"/>
          <w:bCs/>
          <w:sz w:val="24"/>
        </w:rPr>
        <w:t>第五部分　投标文件格式</w:t>
      </w:r>
    </w:p>
    <w:p>
      <w:pPr>
        <w:ind w:firstLine="480" w:firstLineChars="200"/>
        <w:rPr>
          <w:rFonts w:ascii="黑体" w:eastAsia="黑体"/>
          <w:b/>
          <w:bCs/>
          <w:sz w:val="24"/>
        </w:rPr>
      </w:pPr>
      <w:r>
        <w:rPr>
          <w:rFonts w:hint="eastAsia" w:cs="宋体"/>
          <w:sz w:val="24"/>
        </w:rPr>
        <w:fldChar w:fldCharType="end"/>
      </w:r>
      <w:r>
        <w:rPr>
          <w:rFonts w:hint="eastAsia"/>
          <w:b/>
          <w:bCs/>
          <w:sz w:val="24"/>
        </w:rPr>
        <w:t>（三）</w:t>
      </w:r>
      <w:r>
        <w:rPr>
          <w:rFonts w:hint="eastAsia" w:ascii="黑体"/>
          <w:b/>
          <w:bCs/>
          <w:sz w:val="24"/>
        </w:rPr>
        <w:t xml:space="preserve">招标文件的澄清和修改  </w:t>
      </w:r>
    </w:p>
    <w:p>
      <w:pPr>
        <w:ind w:firstLine="480" w:firstLineChars="200"/>
        <w:rPr>
          <w:rFonts w:cs="宋体"/>
          <w:sz w:val="24"/>
        </w:rPr>
      </w:pPr>
      <w:r>
        <w:rPr>
          <w:rFonts w:hint="eastAsia" w:cs="宋体"/>
          <w:sz w:val="24"/>
        </w:rPr>
        <w:t>1.采购人可以对已发出的招标文件、资格预审文件、投标邀请书进行必要的澄清或者修改，但不得改变采购标的和资格条件。澄清或者修</w:t>
      </w:r>
      <w:r>
        <w:rPr>
          <w:rFonts w:hint="eastAsia" w:cs="宋体"/>
          <w:color w:val="000000" w:themeColor="text1"/>
          <w:sz w:val="24"/>
          <w14:textFill>
            <w14:solidFill>
              <w14:schemeClr w14:val="tx1"/>
            </w14:solidFill>
          </w14:textFill>
        </w:rPr>
        <w:t>改应当在</w:t>
      </w:r>
      <w:r>
        <w:rPr>
          <w:rFonts w:hint="eastAsia"/>
          <w:color w:val="000000" w:themeColor="text1"/>
          <w:sz w:val="24"/>
          <w14:textFill>
            <w14:solidFill>
              <w14:schemeClr w14:val="tx1"/>
            </w14:solidFill>
          </w14:textFill>
        </w:rPr>
        <w:t>唐山科普在线</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"http://www.tskp.org.cn/" </w:instrText>
      </w:r>
      <w:r>
        <w:rPr>
          <w:rFonts w:hint="eastAsia" w:ascii="仿宋_GB2312" w:eastAsia="仿宋_GB2312"/>
          <w:sz w:val="32"/>
          <w:szCs w:val="32"/>
        </w:rPr>
        <w:fldChar w:fldCharType="separate"/>
      </w:r>
      <w:r>
        <w:rPr>
          <w:rStyle w:val="24"/>
          <w:rFonts w:hint="eastAsia" w:ascii="仿宋_GB2312" w:eastAsia="仿宋_GB2312"/>
          <w:sz w:val="32"/>
          <w:szCs w:val="32"/>
        </w:rPr>
        <w:t>http://www.tskp.org.cn/</w:t>
      </w:r>
      <w:r>
        <w:rPr>
          <w:rFonts w:hint="eastAsia" w:ascii="仿宋_GB2312" w:eastAsia="仿宋_GB2312"/>
          <w:sz w:val="32"/>
          <w:szCs w:val="32"/>
        </w:rPr>
        <w:fldChar w:fldCharType="end"/>
      </w:r>
      <w:r>
        <w:rPr>
          <w:rFonts w:hint="eastAsia" w:cs="宋体"/>
          <w:color w:val="000000" w:themeColor="text1"/>
          <w:sz w:val="24"/>
          <w14:textFill>
            <w14:solidFill>
              <w14:schemeClr w14:val="tx1"/>
            </w14:solidFill>
          </w14:textFill>
        </w:rPr>
        <w:t>上发布澄</w:t>
      </w:r>
      <w:r>
        <w:rPr>
          <w:rFonts w:hint="eastAsia" w:cs="宋体"/>
          <w:sz w:val="24"/>
        </w:rPr>
        <w:t>清公告。澄清或者修改的内容为招标文件、资格预审文件、投标邀请书的组成部分。</w:t>
      </w:r>
    </w:p>
    <w:p>
      <w:pPr>
        <w:ind w:firstLine="480" w:firstLineChars="200"/>
        <w:rPr>
          <w:rFonts w:cs="宋体"/>
          <w:sz w:val="24"/>
        </w:rPr>
      </w:pPr>
      <w:r>
        <w:rPr>
          <w:rFonts w:hint="eastAsia" w:cs="宋体"/>
          <w:sz w:val="24"/>
        </w:rPr>
        <w:t>2.</w:t>
      </w:r>
      <w:r>
        <w:rPr>
          <w:rFonts w:hint="eastAsia" w:cs="宋体"/>
          <w:color w:val="000000" w:themeColor="text1"/>
          <w:sz w:val="24"/>
          <w14:textFill>
            <w14:solidFill>
              <w14:schemeClr w14:val="tx1"/>
            </w14:solidFill>
          </w14:textFill>
        </w:rPr>
        <w:t>澄清或者修改的内容可能影响投标文件编制的，采购人应当在投标截止时间至少15日前，在</w:t>
      </w:r>
      <w:r>
        <w:rPr>
          <w:rFonts w:hint="eastAsia"/>
          <w:color w:val="000000" w:themeColor="text1"/>
          <w:sz w:val="24"/>
          <w14:textFill>
            <w14:solidFill>
              <w14:schemeClr w14:val="tx1"/>
            </w14:solidFill>
          </w14:textFill>
        </w:rPr>
        <w:t>唐山科普在线</w:t>
      </w:r>
      <w:r>
        <w:rPr>
          <w:rFonts w:hint="eastAsia" w:cs="宋体"/>
          <w:color w:val="000000" w:themeColor="text1"/>
          <w:sz w:val="24"/>
          <w14:textFill>
            <w14:solidFill>
              <w14:schemeClr w14:val="tx1"/>
            </w14:solidFill>
          </w14:textFill>
        </w:rPr>
        <w:t>上发布更正公告，通知所有获取招标文件的潜在投标</w:t>
      </w:r>
      <w:r>
        <w:rPr>
          <w:rFonts w:hint="eastAsia" w:cs="宋体"/>
          <w:sz w:val="24"/>
        </w:rPr>
        <w:t>人。不足15日的，采购人应当顺延提交投标文件的截止时间。</w:t>
      </w:r>
    </w:p>
    <w:p>
      <w:pPr>
        <w:ind w:firstLine="480" w:firstLineChars="200"/>
        <w:rPr>
          <w:rFonts w:cs="宋体"/>
          <w:sz w:val="24"/>
        </w:rPr>
      </w:pPr>
      <w:r>
        <w:rPr>
          <w:rFonts w:hint="eastAsia" w:cs="宋体"/>
          <w:sz w:val="24"/>
        </w:rPr>
        <w:t>3.澄清或者</w:t>
      </w:r>
      <w:r>
        <w:rPr>
          <w:rFonts w:hint="eastAsia" w:cs="宋体"/>
          <w:color w:val="000000" w:themeColor="text1"/>
          <w:sz w:val="24"/>
          <w14:textFill>
            <w14:solidFill>
              <w14:schemeClr w14:val="tx1"/>
            </w14:solidFill>
          </w14:textFill>
        </w:rPr>
        <w:t>修改的内容可能影响资格预审申请文件编制的，采购人应当在提交资格预审申请文件截止时间至少3日前，在</w:t>
      </w:r>
      <w:r>
        <w:rPr>
          <w:rFonts w:hint="eastAsia"/>
          <w:color w:val="000000" w:themeColor="text1"/>
          <w:sz w:val="24"/>
          <w14:textFill>
            <w14:solidFill>
              <w14:schemeClr w14:val="tx1"/>
            </w14:solidFill>
          </w14:textFill>
        </w:rPr>
        <w:t>唐山科普在线</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"http://www.tskp.org.cn/" </w:instrText>
      </w:r>
      <w:r>
        <w:rPr>
          <w:rFonts w:hint="eastAsia" w:ascii="仿宋_GB2312" w:eastAsia="仿宋_GB2312"/>
          <w:sz w:val="32"/>
          <w:szCs w:val="32"/>
        </w:rPr>
        <w:fldChar w:fldCharType="separate"/>
      </w:r>
      <w:r>
        <w:rPr>
          <w:rStyle w:val="24"/>
          <w:rFonts w:hint="eastAsia" w:ascii="仿宋_GB2312" w:eastAsia="仿宋_GB2312"/>
          <w:sz w:val="32"/>
          <w:szCs w:val="32"/>
        </w:rPr>
        <w:t>http://www.tskp.org.cn/</w:t>
      </w:r>
      <w:r>
        <w:rPr>
          <w:rFonts w:hint="eastAsia" w:ascii="仿宋_GB2312" w:eastAsia="仿宋_GB2312"/>
          <w:sz w:val="32"/>
          <w:szCs w:val="32"/>
        </w:rPr>
        <w:fldChar w:fldCharType="end"/>
      </w:r>
      <w:r>
        <w:rPr>
          <w:rFonts w:hint="eastAsia" w:cs="宋体"/>
          <w:color w:val="000000" w:themeColor="text1"/>
          <w:sz w:val="24"/>
          <w14:textFill>
            <w14:solidFill>
              <w14:schemeClr w14:val="tx1"/>
            </w14:solidFill>
          </w14:textFill>
        </w:rPr>
        <w:t>上发布更正公告通知所有获取</w:t>
      </w:r>
      <w:r>
        <w:rPr>
          <w:rFonts w:hint="eastAsia" w:cs="宋体"/>
          <w:sz w:val="24"/>
        </w:rPr>
        <w:t>资格预审文件的潜在投标人。不足3日的，采购人应当顺延提交资格预审申请文件的截止时间。</w:t>
      </w:r>
    </w:p>
    <w:p>
      <w:pPr>
        <w:ind w:firstLine="480" w:firstLineChars="200"/>
        <w:rPr>
          <w:rFonts w:cs="宋体"/>
          <w:sz w:val="24"/>
        </w:rPr>
      </w:pPr>
      <w:r>
        <w:rPr>
          <w:rFonts w:hint="eastAsia" w:cs="宋体"/>
          <w:sz w:val="24"/>
        </w:rPr>
        <w:t>4.对与本项目有关的通知（含有关通知、更正公告、变更公告等），采购人将</w:t>
      </w:r>
      <w:r>
        <w:rPr>
          <w:rFonts w:hint="eastAsia" w:cs="宋体"/>
          <w:color w:val="000000" w:themeColor="text1"/>
          <w:sz w:val="24"/>
          <w14:textFill>
            <w14:solidFill>
              <w14:schemeClr w14:val="tx1"/>
            </w14:solidFill>
          </w14:textFill>
        </w:rPr>
        <w:t>以</w:t>
      </w:r>
      <w:r>
        <w:rPr>
          <w:rFonts w:hint="eastAsia"/>
          <w:color w:val="000000" w:themeColor="text1"/>
          <w:sz w:val="24"/>
          <w14:textFill>
            <w14:solidFill>
              <w14:schemeClr w14:val="tx1"/>
            </w14:solidFill>
          </w14:textFill>
        </w:rPr>
        <w:t>唐山科普在线</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"http://www.tskp.org.cn/" </w:instrText>
      </w:r>
      <w:r>
        <w:rPr>
          <w:rFonts w:hint="eastAsia" w:ascii="仿宋_GB2312" w:eastAsia="仿宋_GB2312"/>
          <w:sz w:val="32"/>
          <w:szCs w:val="32"/>
        </w:rPr>
        <w:fldChar w:fldCharType="separate"/>
      </w:r>
      <w:r>
        <w:rPr>
          <w:rStyle w:val="24"/>
          <w:rFonts w:hint="eastAsia" w:ascii="仿宋_GB2312" w:eastAsia="仿宋_GB2312"/>
          <w:sz w:val="32"/>
          <w:szCs w:val="32"/>
        </w:rPr>
        <w:t>http://www.tskp.org.cn/</w:t>
      </w:r>
      <w:r>
        <w:rPr>
          <w:rFonts w:hint="eastAsia" w:ascii="仿宋_GB2312" w:eastAsia="仿宋_GB2312"/>
          <w:sz w:val="32"/>
          <w:szCs w:val="32"/>
        </w:rPr>
        <w:fldChar w:fldCharType="end"/>
      </w:r>
      <w:r>
        <w:rPr>
          <w:rFonts w:hint="eastAsia" w:cs="宋体"/>
          <w:color w:val="000000" w:themeColor="text1"/>
          <w:sz w:val="24"/>
          <w14:textFill>
            <w14:solidFill>
              <w14:schemeClr w14:val="tx1"/>
            </w14:solidFill>
          </w14:textFill>
        </w:rPr>
        <w:t>上发布公告的形式发出。投标人未收到有关通</w:t>
      </w:r>
      <w:r>
        <w:rPr>
          <w:rFonts w:hint="eastAsia" w:cs="宋体"/>
          <w:sz w:val="24"/>
        </w:rPr>
        <w:t>知，采购人不承担任何责任，有关的招标活动可以继续有效地进行。</w:t>
      </w:r>
    </w:p>
    <w:p>
      <w:pPr>
        <w:ind w:firstLine="482" w:firstLineChars="200"/>
        <w:rPr>
          <w:b/>
          <w:sz w:val="24"/>
          <w:szCs w:val="24"/>
        </w:rPr>
      </w:pPr>
      <w:r>
        <w:rPr>
          <w:rFonts w:hint="eastAsia"/>
          <w:b/>
          <w:sz w:val="24"/>
          <w:szCs w:val="24"/>
        </w:rPr>
        <w:t>（四）现场考察或答疑会</w:t>
      </w:r>
    </w:p>
    <w:p>
      <w:pPr>
        <w:adjustRightInd w:val="0"/>
        <w:snapToGrid w:val="0"/>
        <w:spacing w:line="360" w:lineRule="auto"/>
        <w:ind w:firstLine="480" w:firstLineChars="200"/>
        <w:rPr>
          <w:rFonts w:hint="eastAsia" w:eastAsia="宋体"/>
          <w:sz w:val="24"/>
          <w:lang w:eastAsia="zh-CN"/>
        </w:rPr>
      </w:pPr>
      <w:r>
        <w:rPr>
          <w:rFonts w:hint="eastAsia"/>
          <w:sz w:val="24"/>
        </w:rPr>
        <w:t>现场考察或答疑会不进行统一组织：供应商自行与采购人联系</w:t>
      </w:r>
      <w:r>
        <w:rPr>
          <w:rFonts w:hint="eastAsia"/>
          <w:sz w:val="24"/>
          <w:lang w:eastAsia="zh-CN"/>
        </w:rPr>
        <w:t>。</w:t>
      </w:r>
    </w:p>
    <w:p>
      <w:pPr>
        <w:ind w:firstLine="482" w:firstLineChars="200"/>
        <w:rPr>
          <w:b/>
        </w:rPr>
      </w:pPr>
      <w:r>
        <w:rPr>
          <w:rFonts w:hint="eastAsia"/>
          <w:b/>
          <w:bCs/>
          <w:sz w:val="24"/>
          <w:szCs w:val="24"/>
        </w:rPr>
        <w:t>（五）</w:t>
      </w:r>
      <w:r>
        <w:rPr>
          <w:rFonts w:hint="eastAsia"/>
          <w:b/>
          <w:sz w:val="24"/>
        </w:rPr>
        <w:t>资金来源</w:t>
      </w:r>
    </w:p>
    <w:p>
      <w:pPr>
        <w:ind w:firstLine="480" w:firstLineChars="200"/>
        <w:rPr>
          <w:b/>
        </w:rPr>
      </w:pPr>
      <w:r>
        <w:rPr>
          <w:rFonts w:hint="eastAsia"/>
          <w:sz w:val="24"/>
        </w:rPr>
        <w:t>本招标文件中所述的采购人政府采购项目资金、采购方式已经相关部门批准。</w:t>
      </w:r>
    </w:p>
    <w:p>
      <w:pPr>
        <w:ind w:firstLine="482" w:firstLineChars="200"/>
        <w:rPr>
          <w:rFonts w:ascii="黑体" w:eastAsia="黑体"/>
          <w:b/>
          <w:sz w:val="24"/>
        </w:rPr>
      </w:pPr>
      <w:r>
        <w:rPr>
          <w:rFonts w:hint="eastAsia"/>
          <w:b/>
          <w:bCs/>
          <w:sz w:val="24"/>
        </w:rPr>
        <w:t>（六）中标服务费及</w:t>
      </w:r>
      <w:r>
        <w:rPr>
          <w:rFonts w:hint="eastAsia" w:ascii="黑体"/>
          <w:b/>
          <w:sz w:val="24"/>
        </w:rPr>
        <w:t>投标费用</w:t>
      </w:r>
    </w:p>
    <w:p>
      <w:pPr>
        <w:ind w:firstLine="480" w:firstLineChars="200"/>
        <w:rPr>
          <w:rFonts w:ascii="黑体" w:eastAsia="黑体"/>
          <w:b/>
          <w:sz w:val="24"/>
        </w:rPr>
      </w:pPr>
      <w:r>
        <w:rPr>
          <w:sz w:val="24"/>
          <w:szCs w:val="24"/>
        </w:rPr>
        <w:t>本次招标免收</w:t>
      </w:r>
      <w:r>
        <w:rPr>
          <w:rFonts w:hint="eastAsia"/>
          <w:sz w:val="24"/>
          <w:szCs w:val="24"/>
        </w:rPr>
        <w:t>投标人</w:t>
      </w:r>
      <w:r>
        <w:rPr>
          <w:sz w:val="24"/>
          <w:szCs w:val="24"/>
        </w:rPr>
        <w:t>的中标服务费。</w:t>
      </w:r>
      <w:r>
        <w:rPr>
          <w:rFonts w:hint="eastAsia"/>
          <w:sz w:val="24"/>
        </w:rPr>
        <w:t>投标人应承担所有与准备和参加投标有关的费用。不论投标的结果如何，采购人均无义务和责任承担这些费用。</w:t>
      </w:r>
    </w:p>
    <w:p>
      <w:pPr>
        <w:ind w:firstLine="482" w:firstLineChars="200"/>
        <w:rPr>
          <w:rFonts w:ascii="黑体" w:eastAsia="黑体"/>
          <w:b/>
          <w:sz w:val="24"/>
        </w:rPr>
      </w:pPr>
      <w:r>
        <w:rPr>
          <w:rFonts w:hint="eastAsia"/>
          <w:b/>
          <w:bCs/>
          <w:sz w:val="24"/>
          <w:szCs w:val="24"/>
        </w:rPr>
        <w:t>（七）</w:t>
      </w:r>
      <w:r>
        <w:rPr>
          <w:rFonts w:hint="eastAsia"/>
          <w:b/>
          <w:sz w:val="24"/>
          <w:szCs w:val="24"/>
        </w:rPr>
        <w:t>招标文件的解释</w:t>
      </w:r>
    </w:p>
    <w:p>
      <w:pPr>
        <w:ind w:firstLine="480" w:firstLineChars="200"/>
        <w:rPr>
          <w:rFonts w:ascii="黑体" w:eastAsia="黑体"/>
          <w:b/>
          <w:sz w:val="24"/>
        </w:rPr>
      </w:pPr>
      <w:r>
        <w:rPr>
          <w:rFonts w:hint="eastAsia"/>
          <w:snapToGrid w:val="0"/>
          <w:sz w:val="24"/>
        </w:rPr>
        <w:t>本文件涉及采购程序内容由采购人负责解释。涉及商务、技术服务条款及合同内容由采购人负责解释。</w:t>
      </w:r>
    </w:p>
    <w:p>
      <w:pPr>
        <w:jc w:val="center"/>
        <w:outlineLvl w:val="1"/>
        <w:rPr>
          <w:b/>
          <w:sz w:val="24"/>
          <w:szCs w:val="24"/>
        </w:rPr>
      </w:pPr>
      <w:r>
        <w:rPr>
          <w:rFonts w:hint="eastAsia"/>
          <w:b/>
        </w:rPr>
        <w:t>二、投标人资格</w:t>
      </w:r>
    </w:p>
    <w:p>
      <w:pPr>
        <w:ind w:firstLine="472" w:firstLineChars="196"/>
        <w:jc w:val="left"/>
        <w:rPr>
          <w:sz w:val="24"/>
        </w:rPr>
      </w:pPr>
      <w:r>
        <w:rPr>
          <w:rFonts w:hint="eastAsia"/>
          <w:b/>
          <w:sz w:val="24"/>
          <w:szCs w:val="24"/>
        </w:rPr>
        <w:t>（一）</w:t>
      </w:r>
      <w:r>
        <w:rPr>
          <w:rFonts w:hint="eastAsia"/>
          <w:b/>
          <w:sz w:val="24"/>
        </w:rPr>
        <w:t>投标人</w:t>
      </w:r>
      <w:r>
        <w:rPr>
          <w:b/>
          <w:sz w:val="24"/>
        </w:rPr>
        <w:t>参加政府采购活动应当具备</w:t>
      </w:r>
      <w:r>
        <w:rPr>
          <w:rFonts w:hint="eastAsia"/>
          <w:b/>
          <w:sz w:val="24"/>
        </w:rPr>
        <w:t>政府采购法第二十二条规定，并提交以下材料</w:t>
      </w:r>
    </w:p>
    <w:p>
      <w:pPr>
        <w:ind w:firstLine="480" w:firstLineChars="200"/>
        <w:jc w:val="left"/>
        <w:rPr>
          <w:sz w:val="24"/>
        </w:rPr>
      </w:pPr>
      <w:r>
        <w:rPr>
          <w:rFonts w:hint="eastAsia"/>
          <w:sz w:val="24"/>
        </w:rPr>
        <w:t>1.</w:t>
      </w:r>
      <w:r>
        <w:rPr>
          <w:sz w:val="24"/>
        </w:rPr>
        <w:t>法人或者其他组织的营业执照等证明文件，自然人的身份证明。</w:t>
      </w:r>
    </w:p>
    <w:p>
      <w:pPr>
        <w:ind w:firstLine="480" w:firstLineChars="200"/>
        <w:jc w:val="left"/>
        <w:rPr>
          <w:sz w:val="24"/>
        </w:rPr>
      </w:pPr>
      <w:r>
        <w:rPr>
          <w:rFonts w:hint="eastAsia"/>
          <w:sz w:val="24"/>
        </w:rPr>
        <w:t>2.</w:t>
      </w:r>
      <w:r>
        <w:rPr>
          <w:sz w:val="24"/>
        </w:rPr>
        <w:t>财务状况报告，依法缴纳税收和社会保障资金的相关材料。</w:t>
      </w:r>
    </w:p>
    <w:p>
      <w:pPr>
        <w:ind w:firstLine="480" w:firstLineChars="200"/>
        <w:jc w:val="left"/>
        <w:rPr>
          <w:sz w:val="24"/>
        </w:rPr>
      </w:pPr>
      <w:r>
        <w:rPr>
          <w:rFonts w:hint="eastAsia"/>
          <w:sz w:val="24"/>
        </w:rPr>
        <w:t>3.</w:t>
      </w:r>
      <w:r>
        <w:rPr>
          <w:sz w:val="24"/>
        </w:rPr>
        <w:t>具备履行合同所必需的设备和专业技术能力的证明材料。</w:t>
      </w:r>
    </w:p>
    <w:p>
      <w:pPr>
        <w:ind w:firstLine="480" w:firstLineChars="200"/>
        <w:jc w:val="left"/>
        <w:rPr>
          <w:sz w:val="24"/>
        </w:rPr>
      </w:pPr>
      <w:r>
        <w:rPr>
          <w:rFonts w:hint="eastAsia"/>
          <w:sz w:val="24"/>
        </w:rPr>
        <w:t>4.</w:t>
      </w:r>
      <w:r>
        <w:rPr>
          <w:sz w:val="24"/>
        </w:rPr>
        <w:t>参加政府采购活动前3年内在经营活动中没有重大违法记录的书面声明。</w:t>
      </w:r>
    </w:p>
    <w:p>
      <w:pPr>
        <w:ind w:firstLine="480" w:firstLineChars="200"/>
        <w:jc w:val="left"/>
        <w:rPr>
          <w:sz w:val="24"/>
        </w:rPr>
      </w:pPr>
      <w:r>
        <w:rPr>
          <w:rFonts w:hint="eastAsia"/>
          <w:sz w:val="24"/>
        </w:rPr>
        <w:t>5.</w:t>
      </w:r>
      <w:r>
        <w:rPr>
          <w:sz w:val="24"/>
        </w:rPr>
        <w:t>具备法律、行政法规规定的其他条件的证明材料。</w:t>
      </w:r>
    </w:p>
    <w:p>
      <w:pPr>
        <w:ind w:firstLine="480" w:firstLineChars="200"/>
        <w:jc w:val="left"/>
        <w:rPr>
          <w:sz w:val="24"/>
          <w:szCs w:val="24"/>
        </w:rPr>
      </w:pPr>
      <w:r>
        <w:rPr>
          <w:sz w:val="24"/>
        </w:rPr>
        <w:t>采购项目有特殊要求的，</w:t>
      </w:r>
      <w:r>
        <w:rPr>
          <w:rFonts w:hint="eastAsia"/>
          <w:sz w:val="24"/>
        </w:rPr>
        <w:t>投标人</w:t>
      </w:r>
      <w:r>
        <w:rPr>
          <w:sz w:val="24"/>
        </w:rPr>
        <w:t>还应当提供其符合特殊要求的证明材料或者情况说明。</w:t>
      </w:r>
    </w:p>
    <w:p>
      <w:pPr>
        <w:ind w:firstLine="472" w:firstLineChars="196"/>
        <w:jc w:val="left"/>
        <w:rPr>
          <w:b/>
          <w:sz w:val="24"/>
        </w:rPr>
      </w:pPr>
      <w:r>
        <w:rPr>
          <w:rFonts w:hint="eastAsia"/>
          <w:b/>
          <w:sz w:val="24"/>
        </w:rPr>
        <w:t>（二）投标人资格确认</w:t>
      </w:r>
    </w:p>
    <w:p>
      <w:pPr>
        <w:ind w:firstLine="480" w:firstLineChars="200"/>
        <w:rPr>
          <w:sz w:val="24"/>
          <w:szCs w:val="24"/>
        </w:rPr>
      </w:pPr>
      <w:r>
        <w:rPr>
          <w:rFonts w:hint="eastAsia"/>
          <w:sz w:val="24"/>
          <w:szCs w:val="24"/>
        </w:rPr>
        <w:t>1.投标人应具有招标文件规定的相应资格条件方能参与招投标活动，否则其投标行为视为无效。</w:t>
      </w:r>
    </w:p>
    <w:p>
      <w:pPr>
        <w:jc w:val="center"/>
        <w:outlineLvl w:val="1"/>
        <w:rPr>
          <w:b/>
        </w:rPr>
      </w:pPr>
      <w:r>
        <w:rPr>
          <w:rFonts w:hint="eastAsia"/>
          <w:b/>
        </w:rPr>
        <w:t>三、投标文件的编制</w:t>
      </w:r>
    </w:p>
    <w:p>
      <w:pPr>
        <w:ind w:firstLine="482" w:firstLineChars="200"/>
        <w:rPr>
          <w:rFonts w:ascii="黑体"/>
          <w:b/>
          <w:sz w:val="24"/>
        </w:rPr>
      </w:pPr>
      <w:r>
        <w:rPr>
          <w:rFonts w:hint="eastAsia"/>
          <w:b/>
          <w:bCs/>
          <w:sz w:val="24"/>
          <w:szCs w:val="24"/>
        </w:rPr>
        <w:t>（一）</w:t>
      </w:r>
      <w:r>
        <w:rPr>
          <w:rFonts w:hint="eastAsia" w:ascii="黑体"/>
          <w:b/>
          <w:sz w:val="24"/>
        </w:rPr>
        <w:t>投标的语言及计量单位</w:t>
      </w:r>
    </w:p>
    <w:p>
      <w:pPr>
        <w:ind w:firstLine="480" w:firstLineChars="200"/>
        <w:rPr>
          <w:sz w:val="24"/>
        </w:rPr>
      </w:pPr>
      <w:r>
        <w:rPr>
          <w:rFonts w:hint="eastAsia"/>
          <w:sz w:val="24"/>
        </w:rPr>
        <w:t>1.投标文件以及投标人所有与采购人及政府采购中心就投标来往的函电均使用中文。投标人提供的外文资料应附有相应的中文译本，外文资料与中文译本不一致之处，以中文译本为准。</w:t>
      </w:r>
    </w:p>
    <w:p>
      <w:pPr>
        <w:pStyle w:val="47"/>
        <w:snapToGrid w:val="0"/>
        <w:spacing w:line="360" w:lineRule="auto"/>
        <w:ind w:firstLine="496" w:firstLineChars="207"/>
        <w:rPr>
          <w:spacing w:val="10"/>
          <w:sz w:val="24"/>
          <w:szCs w:val="24"/>
        </w:rPr>
      </w:pPr>
      <w:r>
        <w:rPr>
          <w:rFonts w:hint="eastAsia"/>
          <w:sz w:val="24"/>
        </w:rPr>
        <w:t>2.</w:t>
      </w:r>
      <w:r>
        <w:rPr>
          <w:rFonts w:hint="eastAsia"/>
          <w:spacing w:val="10"/>
          <w:sz w:val="24"/>
          <w:szCs w:val="24"/>
        </w:rPr>
        <w:t>投标文件所使用的计量单位，必须使用国家法定计量单位。</w:t>
      </w:r>
    </w:p>
    <w:p>
      <w:pPr>
        <w:ind w:firstLine="482" w:firstLineChars="200"/>
        <w:rPr>
          <w:b/>
          <w:bCs/>
          <w:sz w:val="24"/>
        </w:rPr>
      </w:pPr>
      <w:r>
        <w:rPr>
          <w:rFonts w:hint="eastAsia"/>
          <w:b/>
          <w:bCs/>
          <w:sz w:val="24"/>
        </w:rPr>
        <w:t>（二）投标文件的真实性</w:t>
      </w:r>
    </w:p>
    <w:p>
      <w:pPr>
        <w:ind w:firstLine="480" w:firstLineChars="200"/>
        <w:rPr>
          <w:sz w:val="24"/>
          <w:szCs w:val="24"/>
        </w:rPr>
      </w:pPr>
      <w:r>
        <w:rPr>
          <w:rFonts w:hint="eastAsia"/>
          <w:sz w:val="24"/>
          <w:szCs w:val="24"/>
        </w:rPr>
        <w:t>投标人应保证所提供的全部资料的真实性，并使其投标文件对应招标文件的要求做出实质性响应。</w:t>
      </w:r>
    </w:p>
    <w:p>
      <w:pPr>
        <w:ind w:firstLine="482" w:firstLineChars="200"/>
        <w:rPr>
          <w:b/>
          <w:bCs/>
          <w:sz w:val="24"/>
          <w:szCs w:val="24"/>
        </w:rPr>
      </w:pPr>
      <w:r>
        <w:rPr>
          <w:rFonts w:hint="eastAsia"/>
          <w:b/>
          <w:bCs/>
          <w:sz w:val="24"/>
          <w:szCs w:val="24"/>
        </w:rPr>
        <w:t>（三）</w:t>
      </w:r>
      <w:r>
        <w:rPr>
          <w:b/>
          <w:bCs/>
          <w:sz w:val="24"/>
          <w:szCs w:val="24"/>
        </w:rPr>
        <w:t>投标文件</w:t>
      </w:r>
      <w:r>
        <w:rPr>
          <w:rFonts w:hint="eastAsia"/>
          <w:b/>
          <w:bCs/>
          <w:sz w:val="24"/>
          <w:szCs w:val="24"/>
        </w:rPr>
        <w:t>构</w:t>
      </w:r>
      <w:r>
        <w:rPr>
          <w:b/>
          <w:bCs/>
          <w:sz w:val="24"/>
          <w:szCs w:val="24"/>
        </w:rPr>
        <w:t>成</w:t>
      </w:r>
      <w:r>
        <w:rPr>
          <w:rFonts w:hint="eastAsia"/>
          <w:b/>
          <w:bCs/>
          <w:sz w:val="24"/>
          <w:szCs w:val="24"/>
        </w:rPr>
        <w:t>、</w:t>
      </w:r>
      <w:r>
        <w:rPr>
          <w:b/>
          <w:bCs/>
          <w:sz w:val="24"/>
          <w:szCs w:val="24"/>
        </w:rPr>
        <w:t>式样和编写</w:t>
      </w:r>
    </w:p>
    <w:p>
      <w:pPr>
        <w:ind w:firstLine="482" w:firstLineChars="200"/>
        <w:rPr>
          <w:b/>
          <w:sz w:val="24"/>
        </w:rPr>
      </w:pPr>
      <w:r>
        <w:rPr>
          <w:rFonts w:hint="eastAsia"/>
          <w:b/>
          <w:sz w:val="24"/>
        </w:rPr>
        <w:t>投标人应按本招标文件第五部分要求的投标文件格式和内容编写投标文件，并对其提交的投标文件的真实性、有效性、合法性承担法律责任。其所投相关参数必须是确定的，</w:t>
      </w:r>
      <w:r>
        <w:rPr>
          <w:rFonts w:hint="eastAsia"/>
          <w:b/>
          <w:sz w:val="24"/>
          <w:szCs w:val="24"/>
        </w:rPr>
        <w:t>否则为无效投标。</w:t>
      </w:r>
    </w:p>
    <w:p>
      <w:pPr>
        <w:widowControl/>
        <w:spacing w:line="400" w:lineRule="atLeast"/>
        <w:ind w:firstLine="420"/>
        <w:rPr>
          <w:sz w:val="24"/>
          <w:szCs w:val="24"/>
        </w:rPr>
      </w:pPr>
      <w:r>
        <w:rPr>
          <w:rFonts w:hint="eastAsia"/>
          <w:sz w:val="24"/>
          <w:szCs w:val="24"/>
        </w:rPr>
        <w:t>1.投标人的投标文件必须使用中文编写。投标文件中可能涉及到的外文资料必须附有相应的中文译本，外文资料与中文译本不一致之处，以中文译本为准。</w:t>
      </w:r>
    </w:p>
    <w:p>
      <w:pPr>
        <w:ind w:firstLine="480" w:firstLineChars="200"/>
        <w:rPr>
          <w:sz w:val="24"/>
          <w:szCs w:val="24"/>
        </w:rPr>
      </w:pPr>
      <w:r>
        <w:rPr>
          <w:rFonts w:hint="eastAsia"/>
          <w:sz w:val="24"/>
          <w:szCs w:val="24"/>
        </w:rPr>
        <w:t>2.</w:t>
      </w:r>
      <w:r>
        <w:rPr>
          <w:rFonts w:hint="eastAsia" w:cs="宋体"/>
          <w:sz w:val="24"/>
        </w:rPr>
        <w:t xml:space="preserve"> </w:t>
      </w:r>
      <w:r>
        <w:rPr>
          <w:rFonts w:hint="eastAsia"/>
          <w:sz w:val="24"/>
          <w:szCs w:val="24"/>
        </w:rPr>
        <w:t>投标文件格式所要求包含的全部资料应全部制作在投标文件内，严格按照本项目招标文件所有格式如实填写（不涉及的内容除外），不应存在漏项或缺项，否则将存在投标文件被拒绝的风险。</w:t>
      </w:r>
    </w:p>
    <w:p>
      <w:pPr>
        <w:numPr>
          <w:ilvl w:val="0"/>
          <w:numId w:val="3"/>
        </w:numPr>
        <w:ind w:firstLine="480" w:firstLineChars="200"/>
        <w:rPr>
          <w:sz w:val="24"/>
          <w:szCs w:val="24"/>
        </w:rPr>
      </w:pPr>
      <w:r>
        <w:rPr>
          <w:rFonts w:hint="eastAsia"/>
          <w:sz w:val="24"/>
          <w:szCs w:val="24"/>
        </w:rPr>
        <w:t>投标文件以外的任何资料采购人将拒收。</w:t>
      </w:r>
    </w:p>
    <w:p>
      <w:pPr>
        <w:spacing w:line="360" w:lineRule="auto"/>
        <w:ind w:firstLine="480" w:firstLineChars="200"/>
        <w:rPr>
          <w:rFonts w:cs="宋体"/>
          <w:sz w:val="24"/>
          <w:lang w:bidi="ar"/>
        </w:rPr>
      </w:pPr>
      <w:r>
        <w:rPr>
          <w:rFonts w:hint="eastAsia"/>
          <w:sz w:val="24"/>
          <w:szCs w:val="24"/>
        </w:rPr>
        <w:t>4.</w:t>
      </w:r>
      <w:r>
        <w:rPr>
          <w:rFonts w:hint="eastAsia" w:cs="宋体"/>
          <w:sz w:val="24"/>
          <w:lang w:bidi="ar"/>
        </w:rPr>
        <w:t>投标人递交的投标文件不予退还。</w:t>
      </w:r>
    </w:p>
    <w:p>
      <w:pPr>
        <w:ind w:firstLine="482" w:firstLineChars="200"/>
        <w:rPr>
          <w:b/>
          <w:bCs/>
          <w:sz w:val="24"/>
          <w:szCs w:val="24"/>
        </w:rPr>
      </w:pPr>
      <w:r>
        <w:rPr>
          <w:rFonts w:hint="eastAsia"/>
          <w:b/>
          <w:bCs/>
          <w:sz w:val="24"/>
          <w:szCs w:val="24"/>
        </w:rPr>
        <w:t>（四）</w:t>
      </w:r>
      <w:r>
        <w:rPr>
          <w:b/>
          <w:bCs/>
          <w:sz w:val="24"/>
          <w:szCs w:val="24"/>
        </w:rPr>
        <w:t>投标报价</w:t>
      </w:r>
      <w:r>
        <w:rPr>
          <w:rFonts w:hint="eastAsia"/>
          <w:b/>
          <w:bCs/>
          <w:sz w:val="24"/>
          <w:szCs w:val="24"/>
        </w:rPr>
        <w:t>说明</w:t>
      </w:r>
    </w:p>
    <w:p>
      <w:pPr>
        <w:ind w:firstLine="480" w:firstLineChars="200"/>
        <w:rPr>
          <w:sz w:val="24"/>
          <w:szCs w:val="24"/>
        </w:rPr>
      </w:pPr>
      <w:r>
        <w:rPr>
          <w:sz w:val="24"/>
          <w:szCs w:val="24"/>
        </w:rPr>
        <w:t>开标时，投标文件中开标一览表内容与投标文件中明细表内容不一致的，以开标一览表为准。</w:t>
      </w:r>
    </w:p>
    <w:p>
      <w:pPr>
        <w:ind w:firstLine="480" w:firstLineChars="200"/>
        <w:rPr>
          <w:b/>
          <w:bCs/>
          <w:sz w:val="24"/>
          <w:szCs w:val="24"/>
        </w:rPr>
      </w:pPr>
      <w:r>
        <w:rPr>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sz w:val="24"/>
          <w:szCs w:val="24"/>
        </w:rPr>
        <w:t xml:space="preserve">  </w:t>
      </w:r>
    </w:p>
    <w:p>
      <w:pPr>
        <w:ind w:firstLine="482" w:firstLineChars="200"/>
        <w:rPr>
          <w:b/>
          <w:bCs/>
          <w:sz w:val="24"/>
          <w:szCs w:val="24"/>
        </w:rPr>
      </w:pPr>
      <w:r>
        <w:rPr>
          <w:rFonts w:hint="eastAsia"/>
          <w:b/>
          <w:bCs/>
          <w:sz w:val="24"/>
          <w:szCs w:val="24"/>
        </w:rPr>
        <w:t>（五）投标有效期</w:t>
      </w:r>
    </w:p>
    <w:p>
      <w:pPr>
        <w:ind w:left="2" w:firstLine="480" w:firstLineChars="200"/>
        <w:rPr>
          <w:sz w:val="24"/>
        </w:rPr>
      </w:pPr>
      <w:r>
        <w:rPr>
          <w:rFonts w:hint="eastAsia"/>
          <w:sz w:val="24"/>
        </w:rPr>
        <w:t>投标有效期从提交投标文件的截止之日起算。投标文件中承诺的投标有效期应当不少于招标文件中载明的投标有效期60天(日历天)。否则为不实质性响应，为无效投标。</w:t>
      </w:r>
    </w:p>
    <w:p>
      <w:pPr>
        <w:jc w:val="center"/>
        <w:outlineLvl w:val="1"/>
        <w:rPr>
          <w:b/>
        </w:rPr>
      </w:pPr>
    </w:p>
    <w:p>
      <w:pPr>
        <w:jc w:val="center"/>
        <w:outlineLvl w:val="1"/>
        <w:rPr>
          <w:b/>
          <w:bCs/>
          <w:sz w:val="24"/>
          <w:szCs w:val="24"/>
        </w:rPr>
      </w:pPr>
      <w:r>
        <w:rPr>
          <w:rFonts w:hint="eastAsia"/>
          <w:b/>
        </w:rPr>
        <w:t>四、投标文件的递交</w:t>
      </w:r>
    </w:p>
    <w:p>
      <w:pPr>
        <w:ind w:left="2" w:firstLine="480" w:firstLineChars="200"/>
        <w:rPr>
          <w:sz w:val="24"/>
        </w:rPr>
      </w:pPr>
      <w:r>
        <w:rPr>
          <w:rFonts w:hint="eastAsia"/>
          <w:sz w:val="24"/>
        </w:rPr>
        <w:t>（一）投标文件的密封与标志</w:t>
      </w:r>
    </w:p>
    <w:p>
      <w:pPr>
        <w:ind w:firstLine="480" w:firstLineChars="200"/>
        <w:rPr>
          <w:sz w:val="24"/>
        </w:rPr>
      </w:pPr>
      <w:r>
        <w:rPr>
          <w:rFonts w:hint="eastAsia"/>
          <w:sz w:val="24"/>
        </w:rPr>
        <w:t>1.密封：投标文件胶装成一册，投标文件正本单独密封，投标文件所有副本密封在一起，并在其上加盖投标人法人印章。</w:t>
      </w:r>
    </w:p>
    <w:p>
      <w:pPr>
        <w:ind w:firstLine="480" w:firstLineChars="200"/>
        <w:rPr>
          <w:sz w:val="24"/>
        </w:rPr>
      </w:pPr>
      <w:r>
        <w:rPr>
          <w:rFonts w:hint="eastAsia"/>
          <w:sz w:val="24"/>
        </w:rPr>
        <w:t>2.标志：投标人应在封袋写明招标人名称和项目名称以及投标人的名称。并加盖投标人法人印章和法定代表人或其代理人印章。</w:t>
      </w:r>
    </w:p>
    <w:p>
      <w:pPr>
        <w:ind w:left="2" w:firstLine="480" w:firstLineChars="200"/>
        <w:rPr>
          <w:sz w:val="24"/>
        </w:rPr>
      </w:pPr>
      <w:r>
        <w:rPr>
          <w:rFonts w:hint="eastAsia"/>
          <w:sz w:val="24"/>
        </w:rPr>
        <w:t>（二）投标截止期</w:t>
      </w:r>
    </w:p>
    <w:p>
      <w:pPr>
        <w:ind w:left="2" w:firstLine="480" w:firstLineChars="200"/>
        <w:rPr>
          <w:sz w:val="24"/>
        </w:rPr>
      </w:pPr>
      <w:r>
        <w:rPr>
          <w:rFonts w:hint="eastAsia"/>
          <w:sz w:val="24"/>
        </w:rPr>
        <w:t>1.投标人应在投标须知中规定的时间之前将投标文件递交到指定地点。招标人在接到投标文件时将在投标文件上注明收到的日期和时间。</w:t>
      </w:r>
    </w:p>
    <w:p>
      <w:pPr>
        <w:ind w:left="2" w:firstLine="480" w:firstLineChars="200"/>
        <w:rPr>
          <w:sz w:val="24"/>
        </w:rPr>
      </w:pPr>
      <w:r>
        <w:rPr>
          <w:rFonts w:hint="eastAsia"/>
          <w:sz w:val="24"/>
        </w:rPr>
        <w:t>2.采购人可以按本文件第5条规定以修改通知的方式，酌情延长递交投标文件的截止日期。在上述情况下，招标人与投标人以前的投标截止期方面的全部权力、责任和义务，将适用于延长后新的投标截止日期。</w:t>
      </w:r>
    </w:p>
    <w:p>
      <w:pPr>
        <w:ind w:left="2" w:firstLine="480" w:firstLineChars="200"/>
        <w:rPr>
          <w:sz w:val="24"/>
        </w:rPr>
      </w:pPr>
      <w:r>
        <w:rPr>
          <w:rFonts w:hint="eastAsia"/>
          <w:sz w:val="24"/>
        </w:rPr>
        <w:t>3.超过投标截止期送达的投标文件将被拒绝。</w:t>
      </w:r>
    </w:p>
    <w:p>
      <w:pPr>
        <w:ind w:left="2" w:firstLine="480" w:firstLineChars="200"/>
        <w:rPr>
          <w:sz w:val="24"/>
        </w:rPr>
      </w:pPr>
      <w:r>
        <w:rPr>
          <w:rFonts w:hint="eastAsia"/>
          <w:sz w:val="24"/>
        </w:rPr>
        <w:t>4.提交投标文件的投标人少于三个的，招标人将依法重新招标。</w:t>
      </w:r>
    </w:p>
    <w:p>
      <w:pPr>
        <w:ind w:left="2" w:firstLine="480" w:firstLineChars="200"/>
        <w:rPr>
          <w:sz w:val="24"/>
        </w:rPr>
      </w:pPr>
      <w:r>
        <w:rPr>
          <w:rFonts w:hint="eastAsia"/>
          <w:sz w:val="24"/>
        </w:rPr>
        <w:t>（三）投标文件的修改与撤回</w:t>
      </w:r>
    </w:p>
    <w:p>
      <w:pPr>
        <w:ind w:left="2" w:firstLine="480" w:firstLineChars="200"/>
        <w:rPr>
          <w:sz w:val="24"/>
        </w:rPr>
      </w:pPr>
      <w:r>
        <w:rPr>
          <w:rFonts w:hint="eastAsia"/>
          <w:sz w:val="24"/>
        </w:rPr>
        <w:t>1投标人可在递交投标文件以后，在规定的投标截止期之前，以书面形式向招标人递交补充、修改、替代或撤回其投标文件的通知。在投标截止期以后，不得更改投标文件。</w:t>
      </w:r>
    </w:p>
    <w:p>
      <w:pPr>
        <w:ind w:left="2" w:firstLine="480" w:firstLineChars="200"/>
        <w:rPr>
          <w:sz w:val="24"/>
        </w:rPr>
      </w:pPr>
      <w:r>
        <w:rPr>
          <w:rFonts w:hint="eastAsia"/>
          <w:sz w:val="24"/>
        </w:rPr>
        <w:t>2投标人的补充、修改、替代或撤回通知，应按本文件第12条规定的要求编制、密封、标志和递交，密封袋上应标明“补充”、“修改”、“替代”或“撤回”字样。</w:t>
      </w:r>
    </w:p>
    <w:p>
      <w:pPr>
        <w:ind w:left="2" w:firstLine="480" w:firstLineChars="200"/>
        <w:rPr>
          <w:sz w:val="24"/>
        </w:rPr>
      </w:pPr>
      <w:r>
        <w:rPr>
          <w:rFonts w:hint="eastAsia"/>
          <w:sz w:val="24"/>
        </w:rPr>
        <w:t>3投标截止以后，在投标有效期内，投标人不得补充、修改、替代或撤回投标文件。</w:t>
      </w:r>
    </w:p>
    <w:p>
      <w:pPr>
        <w:jc w:val="center"/>
        <w:outlineLvl w:val="1"/>
        <w:rPr>
          <w:b/>
        </w:rPr>
      </w:pPr>
      <w:r>
        <w:rPr>
          <w:rFonts w:hint="eastAsia"/>
          <w:b/>
        </w:rPr>
        <w:t>五、开标与评标</w:t>
      </w:r>
    </w:p>
    <w:p>
      <w:pPr>
        <w:ind w:right="-1" w:firstLine="482" w:firstLineChars="200"/>
        <w:rPr>
          <w:b/>
          <w:bCs/>
          <w:sz w:val="24"/>
          <w:szCs w:val="24"/>
        </w:rPr>
      </w:pPr>
      <w:r>
        <w:rPr>
          <w:rFonts w:hint="eastAsia"/>
          <w:b/>
          <w:bCs/>
          <w:sz w:val="24"/>
          <w:szCs w:val="24"/>
        </w:rPr>
        <w:t>（一）</w:t>
      </w:r>
      <w:r>
        <w:rPr>
          <w:b/>
          <w:bCs/>
          <w:sz w:val="24"/>
          <w:szCs w:val="24"/>
        </w:rPr>
        <w:t>开标时间、地点</w:t>
      </w:r>
    </w:p>
    <w:p>
      <w:pPr>
        <w:ind w:firstLine="482" w:firstLineChars="200"/>
        <w:rPr>
          <w:b/>
          <w:bCs/>
          <w:sz w:val="24"/>
          <w:szCs w:val="24"/>
        </w:rPr>
      </w:pPr>
      <w:r>
        <w:rPr>
          <w:rFonts w:hint="eastAsia"/>
          <w:b/>
          <w:bCs/>
          <w:sz w:val="24"/>
          <w:szCs w:val="24"/>
        </w:rPr>
        <w:t>采购人按“投标邀请函”中规定的时间和地点，组织公开开标大会。</w:t>
      </w:r>
    </w:p>
    <w:p>
      <w:pPr>
        <w:ind w:firstLine="482" w:firstLineChars="200"/>
        <w:rPr>
          <w:b/>
          <w:bCs/>
          <w:sz w:val="24"/>
          <w:szCs w:val="24"/>
        </w:rPr>
      </w:pPr>
      <w:r>
        <w:rPr>
          <w:rFonts w:hint="eastAsia"/>
          <w:b/>
          <w:bCs/>
          <w:sz w:val="24"/>
          <w:szCs w:val="24"/>
        </w:rPr>
        <w:t>（二）开标</w:t>
      </w:r>
    </w:p>
    <w:p>
      <w:pPr>
        <w:ind w:left="2" w:firstLine="480" w:firstLineChars="200"/>
        <w:rPr>
          <w:sz w:val="24"/>
        </w:rPr>
      </w:pPr>
      <w:r>
        <w:rPr>
          <w:rFonts w:hint="eastAsia"/>
          <w:sz w:val="24"/>
        </w:rPr>
        <w:t>1.开标会议应当在相关部门监督下，由采购人按前附表规定的时间和地点举行。参加开标的投标人代表（即法定代表人或其委托代理人）应签名报到，以证明其出席开标会议。</w:t>
      </w:r>
    </w:p>
    <w:p>
      <w:pPr>
        <w:ind w:left="2" w:firstLine="480" w:firstLineChars="200"/>
        <w:rPr>
          <w:sz w:val="24"/>
        </w:rPr>
      </w:pPr>
      <w:r>
        <w:rPr>
          <w:rFonts w:hint="eastAsia"/>
          <w:sz w:val="24"/>
        </w:rPr>
        <w:t>2.投标人法定代表人或其委托代理人未参加开标会议的将视为自动弃权。</w:t>
      </w:r>
    </w:p>
    <w:p>
      <w:pPr>
        <w:ind w:left="2" w:firstLine="480" w:firstLineChars="200"/>
        <w:rPr>
          <w:sz w:val="24"/>
        </w:rPr>
      </w:pPr>
      <w:r>
        <w:rPr>
          <w:rFonts w:hint="eastAsia"/>
          <w:sz w:val="24"/>
        </w:rPr>
        <w:t>3.开标会议由采购人组织并主持。由各投标人或其推选代表对投标文件进行检查，确定它们是否完整，文件签署是否正确。</w:t>
      </w:r>
    </w:p>
    <w:p>
      <w:pPr>
        <w:ind w:left="2" w:firstLine="480" w:firstLineChars="200"/>
        <w:rPr>
          <w:sz w:val="24"/>
        </w:rPr>
      </w:pPr>
      <w:r>
        <w:rPr>
          <w:rFonts w:hint="eastAsia"/>
          <w:sz w:val="24"/>
        </w:rPr>
        <w:t>4.投标人在本项目开标会议上应出示以下证件的原件；</w:t>
      </w:r>
    </w:p>
    <w:p>
      <w:pPr>
        <w:ind w:left="2" w:firstLine="480" w:firstLineChars="200"/>
        <w:rPr>
          <w:sz w:val="24"/>
        </w:rPr>
      </w:pPr>
      <w:r>
        <w:rPr>
          <w:rFonts w:hint="eastAsia"/>
          <w:sz w:val="24"/>
        </w:rPr>
        <w:t>4.1法定代表人参加会议时，需出示法定代表人证书或其身份证；如有授权时需出示授权委托书，同时出示受委托代理人身份证；</w:t>
      </w:r>
    </w:p>
    <w:p>
      <w:pPr>
        <w:ind w:left="2" w:firstLine="480" w:firstLineChars="200"/>
        <w:rPr>
          <w:sz w:val="24"/>
        </w:rPr>
      </w:pPr>
      <w:r>
        <w:rPr>
          <w:rFonts w:hint="eastAsia"/>
          <w:sz w:val="24"/>
        </w:rPr>
        <w:t>5.唱标按照标书签到顺序由采购人主持进行 。</w:t>
      </w:r>
    </w:p>
    <w:p>
      <w:pPr>
        <w:ind w:firstLine="480" w:firstLineChars="200"/>
        <w:rPr>
          <w:sz w:val="24"/>
          <w:szCs w:val="24"/>
        </w:rPr>
      </w:pPr>
      <w:r>
        <w:rPr>
          <w:rFonts w:hint="eastAsia"/>
          <w:sz w:val="24"/>
          <w:szCs w:val="24"/>
        </w:rPr>
        <w:t>6.投标人不足3家的，不得开标。</w:t>
      </w:r>
    </w:p>
    <w:p>
      <w:pPr>
        <w:ind w:firstLine="480" w:firstLineChars="200"/>
        <w:rPr>
          <w:sz w:val="24"/>
          <w:szCs w:val="24"/>
        </w:rPr>
      </w:pPr>
      <w:r>
        <w:rPr>
          <w:rFonts w:hint="eastAsia"/>
          <w:sz w:val="24"/>
          <w:szCs w:val="24"/>
        </w:rPr>
        <w:t>7.中标及未中标投标人的投标文件不再退回。</w:t>
      </w:r>
    </w:p>
    <w:p>
      <w:pPr>
        <w:ind w:right="-1" w:firstLine="482" w:firstLineChars="200"/>
        <w:rPr>
          <w:sz w:val="24"/>
          <w:szCs w:val="24"/>
        </w:rPr>
      </w:pPr>
      <w:r>
        <w:rPr>
          <w:rFonts w:hint="eastAsia"/>
          <w:b/>
          <w:bCs/>
          <w:sz w:val="24"/>
          <w:szCs w:val="24"/>
        </w:rPr>
        <w:t>（三）</w:t>
      </w:r>
      <w:r>
        <w:rPr>
          <w:b/>
          <w:bCs/>
          <w:sz w:val="24"/>
          <w:szCs w:val="24"/>
        </w:rPr>
        <w:t>评标委员会</w:t>
      </w:r>
    </w:p>
    <w:p>
      <w:pPr>
        <w:ind w:right="-1801" w:firstLine="570"/>
        <w:rPr>
          <w:b/>
          <w:bCs/>
          <w:sz w:val="24"/>
          <w:szCs w:val="24"/>
        </w:rPr>
      </w:pPr>
      <w:r>
        <w:rPr>
          <w:rFonts w:hint="eastAsia"/>
          <w:b/>
          <w:bCs/>
          <w:sz w:val="24"/>
          <w:szCs w:val="24"/>
        </w:rPr>
        <w:t>1.组成</w:t>
      </w:r>
    </w:p>
    <w:p>
      <w:pPr>
        <w:ind w:firstLine="480" w:firstLineChars="200"/>
        <w:rPr>
          <w:sz w:val="24"/>
          <w:szCs w:val="24"/>
        </w:rPr>
      </w:pPr>
      <w:r>
        <w:rPr>
          <w:rFonts w:hint="eastAsia"/>
          <w:sz w:val="24"/>
          <w:szCs w:val="24"/>
        </w:rPr>
        <w:t>评标委员会由评审专家组成，成员人数应当为5人以上单数，其中技术经济类专家不得少于成员总数的三分之二。</w:t>
      </w:r>
    </w:p>
    <w:p>
      <w:pPr>
        <w:ind w:firstLine="480" w:firstLineChars="200"/>
        <w:rPr>
          <w:sz w:val="24"/>
          <w:szCs w:val="24"/>
        </w:rPr>
      </w:pPr>
      <w:r>
        <w:rPr>
          <w:rFonts w:hint="eastAsia"/>
          <w:sz w:val="24"/>
          <w:szCs w:val="24"/>
        </w:rPr>
        <w:t>评审专家对本单位的采购项目只能作为采购人代表参与评标，财政部第87号令第四十八条第二款规定情形除外。政府采购中心工作人员不得参加由本机构代理的政府采购项目的评标。</w:t>
      </w:r>
    </w:p>
    <w:p>
      <w:pPr>
        <w:ind w:firstLine="480" w:firstLineChars="200"/>
        <w:rPr>
          <w:sz w:val="24"/>
          <w:szCs w:val="24"/>
        </w:rPr>
      </w:pPr>
      <w:r>
        <w:rPr>
          <w:rFonts w:hint="eastAsia"/>
          <w:sz w:val="24"/>
          <w:szCs w:val="24"/>
        </w:rPr>
        <w:t>评标委员会成员名单在评标结果公告前应当保密。</w:t>
      </w:r>
    </w:p>
    <w:p>
      <w:pPr>
        <w:ind w:firstLine="482" w:firstLineChars="200"/>
        <w:rPr>
          <w:b/>
          <w:bCs/>
          <w:sz w:val="24"/>
          <w:szCs w:val="24"/>
        </w:rPr>
      </w:pPr>
      <w:r>
        <w:rPr>
          <w:rFonts w:hint="eastAsia"/>
          <w:b/>
          <w:bCs/>
          <w:sz w:val="24"/>
          <w:szCs w:val="24"/>
        </w:rPr>
        <w:t>2.评标委员会负责具体评标事务，并独立履行下列职责</w:t>
      </w:r>
    </w:p>
    <w:p>
      <w:pPr>
        <w:ind w:firstLine="480" w:firstLineChars="200"/>
        <w:rPr>
          <w:sz w:val="24"/>
          <w:szCs w:val="24"/>
        </w:rPr>
      </w:pPr>
      <w:r>
        <w:rPr>
          <w:rFonts w:hint="eastAsia"/>
          <w:sz w:val="24"/>
          <w:szCs w:val="24"/>
        </w:rPr>
        <w:t>2.1审查、评价投标文件是否符合招标文件的商务、技术等实质性要求。</w:t>
      </w:r>
    </w:p>
    <w:p>
      <w:pPr>
        <w:ind w:firstLine="480" w:firstLineChars="200"/>
        <w:rPr>
          <w:sz w:val="24"/>
          <w:szCs w:val="24"/>
        </w:rPr>
      </w:pPr>
      <w:r>
        <w:rPr>
          <w:rFonts w:hint="eastAsia"/>
          <w:sz w:val="24"/>
          <w:szCs w:val="24"/>
        </w:rPr>
        <w:t>2.2要求投标人对投标文件有关事项作出澄清或者说明。</w:t>
      </w:r>
    </w:p>
    <w:p>
      <w:pPr>
        <w:ind w:firstLine="480" w:firstLineChars="200"/>
        <w:rPr>
          <w:sz w:val="24"/>
          <w:szCs w:val="24"/>
        </w:rPr>
      </w:pPr>
      <w:r>
        <w:rPr>
          <w:rFonts w:hint="eastAsia"/>
          <w:sz w:val="24"/>
          <w:szCs w:val="24"/>
        </w:rPr>
        <w:t>2.3对投标文件进行比较和评价。</w:t>
      </w:r>
    </w:p>
    <w:p>
      <w:pPr>
        <w:ind w:firstLine="480" w:firstLineChars="200"/>
        <w:rPr>
          <w:sz w:val="24"/>
          <w:szCs w:val="24"/>
        </w:rPr>
      </w:pPr>
      <w:r>
        <w:rPr>
          <w:rFonts w:hint="eastAsia"/>
          <w:sz w:val="24"/>
          <w:szCs w:val="24"/>
        </w:rPr>
        <w:t>2.4确定中标候选人名单，以及根据采购人委托直接确定中标人。</w:t>
      </w:r>
    </w:p>
    <w:p>
      <w:pPr>
        <w:ind w:firstLine="480" w:firstLineChars="200"/>
        <w:rPr>
          <w:sz w:val="24"/>
          <w:szCs w:val="24"/>
        </w:rPr>
      </w:pPr>
      <w:r>
        <w:rPr>
          <w:rFonts w:hint="eastAsia"/>
          <w:sz w:val="24"/>
          <w:szCs w:val="24"/>
        </w:rPr>
        <w:t>2.5向采购人、政府采购中心或者有关部门报告评标中发现的违法行为。</w:t>
      </w:r>
    </w:p>
    <w:p>
      <w:pPr>
        <w:ind w:firstLine="482" w:firstLineChars="200"/>
        <w:rPr>
          <w:b/>
          <w:bCs/>
          <w:sz w:val="24"/>
          <w:szCs w:val="24"/>
        </w:rPr>
      </w:pPr>
      <w:r>
        <w:rPr>
          <w:rFonts w:hint="eastAsia"/>
          <w:b/>
          <w:bCs/>
          <w:sz w:val="24"/>
          <w:szCs w:val="24"/>
        </w:rPr>
        <w:t>3、专家回避及相关情况处理</w:t>
      </w:r>
    </w:p>
    <w:p>
      <w:pPr>
        <w:ind w:firstLine="480" w:firstLineChars="200"/>
        <w:rPr>
          <w:sz w:val="24"/>
          <w:szCs w:val="24"/>
        </w:rPr>
      </w:pPr>
      <w:r>
        <w:rPr>
          <w:rFonts w:hint="eastAsia"/>
          <w:sz w:val="24"/>
          <w:szCs w:val="24"/>
        </w:rPr>
        <w:t>3.1评标中因评标委员会成员缺席、回避或者健康等特殊原因导致评标委员会组成不符合财政部第87号令规定的，采购人应当依法补足后继续评标。被更换的评标委员会成员所作出的评标意见无效。</w:t>
      </w:r>
    </w:p>
    <w:p>
      <w:pPr>
        <w:ind w:firstLine="480" w:firstLineChars="200"/>
        <w:rPr>
          <w:sz w:val="24"/>
          <w:szCs w:val="24"/>
        </w:rPr>
      </w:pPr>
      <w:r>
        <w:rPr>
          <w:rFonts w:hint="eastAsia"/>
          <w:sz w:val="24"/>
          <w:szCs w:val="24"/>
        </w:rPr>
        <w:t>3.2无法及时补足评标委员会成员的，采购人应当停止评标活动，封存所有投标文件和开标、评标资料，依法重新组建评标委员会进行评标。原评标委员会所作出的评标意见无效。</w:t>
      </w:r>
    </w:p>
    <w:p>
      <w:pPr>
        <w:ind w:firstLine="480" w:firstLineChars="200"/>
        <w:rPr>
          <w:sz w:val="24"/>
          <w:szCs w:val="24"/>
        </w:rPr>
      </w:pPr>
      <w:r>
        <w:rPr>
          <w:rFonts w:hint="eastAsia"/>
          <w:sz w:val="24"/>
          <w:szCs w:val="24"/>
        </w:rPr>
        <w:t>3.3采购人应当将变更、重新组建评标委员会的情况予以记录，并随采购文件一并存档。</w:t>
      </w:r>
    </w:p>
    <w:p>
      <w:pPr>
        <w:ind w:firstLine="482" w:firstLineChars="200"/>
        <w:rPr>
          <w:b/>
          <w:bCs/>
          <w:sz w:val="24"/>
          <w:szCs w:val="24"/>
        </w:rPr>
      </w:pPr>
      <w:r>
        <w:rPr>
          <w:rFonts w:hint="eastAsia"/>
          <w:b/>
          <w:bCs/>
          <w:sz w:val="24"/>
          <w:szCs w:val="24"/>
        </w:rPr>
        <w:t>（四）评审组织工作</w:t>
      </w:r>
    </w:p>
    <w:p>
      <w:pPr>
        <w:rPr>
          <w:sz w:val="24"/>
          <w:szCs w:val="24"/>
        </w:rPr>
      </w:pPr>
      <w:r>
        <w:rPr>
          <w:rFonts w:hint="eastAsia"/>
          <w:b/>
          <w:bCs/>
          <w:sz w:val="24"/>
          <w:szCs w:val="24"/>
        </w:rPr>
        <w:t xml:space="preserve">     </w:t>
      </w:r>
      <w:r>
        <w:rPr>
          <w:rFonts w:hint="eastAsia"/>
          <w:sz w:val="24"/>
          <w:szCs w:val="24"/>
        </w:rPr>
        <w:t>采购人负责组织评标工作，并履行下列职责：</w:t>
      </w:r>
    </w:p>
    <w:p>
      <w:pPr>
        <w:rPr>
          <w:sz w:val="24"/>
          <w:szCs w:val="24"/>
        </w:rPr>
      </w:pPr>
      <w:r>
        <w:rPr>
          <w:rFonts w:hint="eastAsia"/>
          <w:sz w:val="24"/>
          <w:szCs w:val="24"/>
        </w:rPr>
        <w:t>　　1.核对评审专家身份和采购人代表授权函，对评审专家在政府采购活动中的职责履行情况予以记录，并及时将有关违法违规行为向财政部门报告。</w:t>
      </w:r>
    </w:p>
    <w:p>
      <w:pPr>
        <w:rPr>
          <w:sz w:val="24"/>
          <w:szCs w:val="24"/>
        </w:rPr>
      </w:pPr>
      <w:r>
        <w:rPr>
          <w:rFonts w:hint="eastAsia"/>
          <w:sz w:val="24"/>
          <w:szCs w:val="24"/>
        </w:rPr>
        <w:t>　　2.宣布评标纪律。</w:t>
      </w:r>
    </w:p>
    <w:p>
      <w:pPr>
        <w:rPr>
          <w:sz w:val="24"/>
          <w:szCs w:val="24"/>
        </w:rPr>
      </w:pPr>
      <w:r>
        <w:rPr>
          <w:rFonts w:hint="eastAsia"/>
          <w:sz w:val="24"/>
          <w:szCs w:val="24"/>
        </w:rPr>
        <w:t>　　3.公布投标人名单，告知评审专家应当回避的情形。</w:t>
      </w:r>
    </w:p>
    <w:p>
      <w:pPr>
        <w:rPr>
          <w:sz w:val="24"/>
          <w:szCs w:val="24"/>
        </w:rPr>
      </w:pPr>
      <w:r>
        <w:rPr>
          <w:rFonts w:hint="eastAsia"/>
          <w:sz w:val="24"/>
          <w:szCs w:val="24"/>
        </w:rPr>
        <w:t>　　4.组织评标委员会推选评标组长，采购人代表不得担任组长。</w:t>
      </w:r>
    </w:p>
    <w:p>
      <w:pPr>
        <w:rPr>
          <w:sz w:val="24"/>
          <w:szCs w:val="24"/>
        </w:rPr>
      </w:pPr>
      <w:r>
        <w:rPr>
          <w:rFonts w:hint="eastAsia"/>
          <w:sz w:val="24"/>
          <w:szCs w:val="24"/>
        </w:rPr>
        <w:t>　　5.在评标期间采取必要的通讯管理措施，保证评标活动不受外界干扰。</w:t>
      </w:r>
    </w:p>
    <w:p>
      <w:pPr>
        <w:rPr>
          <w:sz w:val="24"/>
          <w:szCs w:val="24"/>
        </w:rPr>
      </w:pPr>
      <w:r>
        <w:rPr>
          <w:rFonts w:hint="eastAsia"/>
          <w:sz w:val="24"/>
          <w:szCs w:val="24"/>
        </w:rPr>
        <w:t>　　6.根据评标委员会的要求介绍政府采购相关政策法规、招标文件。</w:t>
      </w:r>
    </w:p>
    <w:p>
      <w:pPr>
        <w:rPr>
          <w:sz w:val="24"/>
          <w:szCs w:val="24"/>
        </w:rPr>
      </w:pPr>
      <w:r>
        <w:rPr>
          <w:rFonts w:hint="eastAsia"/>
          <w:sz w:val="24"/>
          <w:szCs w:val="24"/>
        </w:rPr>
        <w:t>　　7.维护评标秩序，监督评标委员会依照招标文件规定的评标程序、方法和标准进行独立评审，及时制止和纠正采购人代表、评审专家的倾向性言论或者违法违规行为。</w:t>
      </w:r>
    </w:p>
    <w:p>
      <w:pPr>
        <w:rPr>
          <w:sz w:val="24"/>
          <w:szCs w:val="24"/>
        </w:rPr>
      </w:pPr>
      <w:r>
        <w:rPr>
          <w:rFonts w:hint="eastAsia"/>
          <w:sz w:val="24"/>
          <w:szCs w:val="24"/>
        </w:rPr>
        <w:t>　　8.核对评标结果，有财政部第87号令第六十四条规定情形的，要求评标委员会复核或者书面说明理由，评标委员会拒绝的，应予记录并向本级财政部门报告。</w:t>
      </w:r>
    </w:p>
    <w:p>
      <w:pPr>
        <w:rPr>
          <w:sz w:val="24"/>
          <w:szCs w:val="24"/>
        </w:rPr>
      </w:pPr>
      <w:r>
        <w:rPr>
          <w:rFonts w:hint="eastAsia"/>
          <w:sz w:val="24"/>
          <w:szCs w:val="24"/>
        </w:rPr>
        <w:t>　　9.评审工作完成后，按照规定向评审专家支付劳务报酬和异地评审差旅费，不得向评审专家以外的其他人员支付评审劳务报酬。</w:t>
      </w:r>
    </w:p>
    <w:p>
      <w:pPr>
        <w:rPr>
          <w:sz w:val="24"/>
          <w:szCs w:val="24"/>
        </w:rPr>
      </w:pPr>
      <w:r>
        <w:rPr>
          <w:rFonts w:hint="eastAsia"/>
          <w:sz w:val="24"/>
          <w:szCs w:val="24"/>
        </w:rPr>
        <w:t>　　10.处理与评标有关的其他事项。</w:t>
      </w:r>
    </w:p>
    <w:p>
      <w:pPr>
        <w:rPr>
          <w:sz w:val="24"/>
          <w:szCs w:val="24"/>
        </w:rPr>
      </w:pPr>
      <w:r>
        <w:rPr>
          <w:rFonts w:hint="eastAsia"/>
          <w:sz w:val="24"/>
          <w:szCs w:val="24"/>
        </w:rPr>
        <w:t>　　采购人可以在评标前说明项目背景和采购需求，说明内容不得含有歧视性、倾向性意见，不得超出招标文件所述范围。说明应当提交书面材料，并随采购文件一并存档。</w:t>
      </w:r>
    </w:p>
    <w:p>
      <w:pPr>
        <w:ind w:firstLine="241" w:firstLineChars="100"/>
        <w:rPr>
          <w:b/>
          <w:bCs/>
          <w:sz w:val="24"/>
          <w:szCs w:val="24"/>
        </w:rPr>
      </w:pPr>
      <w:r>
        <w:rPr>
          <w:rFonts w:hint="eastAsia"/>
          <w:b/>
          <w:bCs/>
          <w:sz w:val="24"/>
          <w:szCs w:val="24"/>
        </w:rPr>
        <w:t>（五）评标委员会及其成员不得有下列行为：</w:t>
      </w:r>
    </w:p>
    <w:p>
      <w:pPr>
        <w:ind w:firstLine="480" w:firstLineChars="200"/>
        <w:rPr>
          <w:sz w:val="24"/>
          <w:szCs w:val="24"/>
        </w:rPr>
      </w:pPr>
      <w:r>
        <w:rPr>
          <w:rFonts w:hint="eastAsia"/>
          <w:sz w:val="24"/>
          <w:szCs w:val="24"/>
        </w:rPr>
        <w:t>1.确定参与评标至评标结束前私自接触投标人。</w:t>
      </w:r>
    </w:p>
    <w:p>
      <w:pPr>
        <w:ind w:firstLine="480" w:firstLineChars="200"/>
        <w:rPr>
          <w:sz w:val="24"/>
          <w:szCs w:val="24"/>
        </w:rPr>
      </w:pPr>
      <w:r>
        <w:rPr>
          <w:rFonts w:hint="eastAsia"/>
          <w:sz w:val="24"/>
          <w:szCs w:val="24"/>
        </w:rPr>
        <w:t>2.接受投标人提出的与投标文件不一致的澄清或者说明，财政部第87号令第五十一条规定的情形除外。</w:t>
      </w:r>
    </w:p>
    <w:p>
      <w:pPr>
        <w:ind w:firstLine="480" w:firstLineChars="200"/>
        <w:rPr>
          <w:sz w:val="24"/>
          <w:szCs w:val="24"/>
        </w:rPr>
      </w:pPr>
      <w:r>
        <w:rPr>
          <w:rFonts w:hint="eastAsia"/>
          <w:sz w:val="24"/>
          <w:szCs w:val="24"/>
        </w:rPr>
        <w:t>3.违反评标纪律发表倾向性意见或者征询采购人的倾向性意见。</w:t>
      </w:r>
    </w:p>
    <w:p>
      <w:pPr>
        <w:ind w:firstLine="480" w:firstLineChars="200"/>
        <w:rPr>
          <w:sz w:val="24"/>
          <w:szCs w:val="24"/>
        </w:rPr>
      </w:pPr>
      <w:r>
        <w:rPr>
          <w:rFonts w:hint="eastAsia"/>
          <w:sz w:val="24"/>
          <w:szCs w:val="24"/>
        </w:rPr>
        <w:t>4.对需要专业判断的主观评审因素协商评分。</w:t>
      </w:r>
    </w:p>
    <w:p>
      <w:pPr>
        <w:ind w:firstLine="480" w:firstLineChars="200"/>
        <w:rPr>
          <w:sz w:val="24"/>
          <w:szCs w:val="24"/>
        </w:rPr>
      </w:pPr>
      <w:r>
        <w:rPr>
          <w:rFonts w:hint="eastAsia"/>
          <w:sz w:val="24"/>
          <w:szCs w:val="24"/>
        </w:rPr>
        <w:t>5.在评标过程中擅离职守，影响评标程序正常进行的。</w:t>
      </w:r>
    </w:p>
    <w:p>
      <w:pPr>
        <w:ind w:firstLine="480" w:firstLineChars="200"/>
        <w:rPr>
          <w:sz w:val="24"/>
          <w:szCs w:val="24"/>
        </w:rPr>
      </w:pPr>
      <w:r>
        <w:rPr>
          <w:rFonts w:hint="eastAsia"/>
          <w:sz w:val="24"/>
          <w:szCs w:val="24"/>
        </w:rPr>
        <w:t>6.记录、复制或者带走任何评标资料。</w:t>
      </w:r>
    </w:p>
    <w:p>
      <w:pPr>
        <w:ind w:firstLine="480" w:firstLineChars="200"/>
        <w:rPr>
          <w:sz w:val="24"/>
          <w:szCs w:val="24"/>
        </w:rPr>
      </w:pPr>
      <w:r>
        <w:rPr>
          <w:rFonts w:hint="eastAsia"/>
          <w:sz w:val="24"/>
          <w:szCs w:val="24"/>
        </w:rPr>
        <w:t>7.其他不遵守评标纪律的行为。</w:t>
      </w:r>
    </w:p>
    <w:p>
      <w:pPr>
        <w:ind w:firstLine="480" w:firstLineChars="200"/>
        <w:rPr>
          <w:sz w:val="24"/>
          <w:szCs w:val="24"/>
        </w:rPr>
      </w:pPr>
      <w:r>
        <w:rPr>
          <w:rFonts w:hint="eastAsia"/>
          <w:sz w:val="24"/>
          <w:szCs w:val="24"/>
        </w:rPr>
        <w:t>评标委员会成员有前款第一至五项行为之一的，其评审意见无效，并不得获取评审劳务报酬和报销异地评审差旅费。</w:t>
      </w:r>
    </w:p>
    <w:p>
      <w:pPr>
        <w:ind w:firstLine="482" w:firstLineChars="200"/>
        <w:rPr>
          <w:b/>
          <w:bCs/>
          <w:sz w:val="24"/>
          <w:szCs w:val="24"/>
        </w:rPr>
      </w:pPr>
      <w:r>
        <w:rPr>
          <w:rFonts w:hint="eastAsia"/>
          <w:b/>
          <w:bCs/>
          <w:sz w:val="24"/>
          <w:szCs w:val="24"/>
        </w:rPr>
        <w:t>（六）评标</w:t>
      </w:r>
      <w:r>
        <w:rPr>
          <w:b/>
          <w:sz w:val="24"/>
          <w:szCs w:val="24"/>
        </w:rPr>
        <w:t>工作</w:t>
      </w:r>
      <w:r>
        <w:rPr>
          <w:rFonts w:hint="eastAsia"/>
          <w:b/>
          <w:bCs/>
          <w:sz w:val="24"/>
          <w:szCs w:val="24"/>
        </w:rPr>
        <w:t>程序及说明</w:t>
      </w:r>
    </w:p>
    <w:p>
      <w:pPr>
        <w:ind w:firstLine="480" w:firstLineChars="200"/>
        <w:rPr>
          <w:sz w:val="24"/>
          <w:szCs w:val="24"/>
        </w:rPr>
      </w:pPr>
      <w:r>
        <w:rPr>
          <w:rFonts w:hint="eastAsia"/>
          <w:sz w:val="24"/>
          <w:szCs w:val="24"/>
        </w:rPr>
        <w:t>公开招标采购项目开标结束后，采购人应当依法对投标人的资格进行审查。</w:t>
      </w:r>
    </w:p>
    <w:p>
      <w:pPr>
        <w:ind w:firstLine="480" w:firstLineChars="200"/>
        <w:rPr>
          <w:sz w:val="24"/>
          <w:szCs w:val="24"/>
        </w:rPr>
      </w:pPr>
      <w:r>
        <w:rPr>
          <w:rFonts w:hint="eastAsia"/>
          <w:sz w:val="24"/>
          <w:szCs w:val="24"/>
        </w:rPr>
        <w:t>合格投标人不足3家的，不得评标。</w:t>
      </w:r>
    </w:p>
    <w:p>
      <w:pPr>
        <w:ind w:firstLine="480" w:firstLineChars="200"/>
        <w:rPr>
          <w:sz w:val="24"/>
          <w:szCs w:val="24"/>
        </w:rPr>
      </w:pPr>
      <w:r>
        <w:rPr>
          <w:rFonts w:hint="eastAsia"/>
          <w:sz w:val="24"/>
          <w:szCs w:val="24"/>
        </w:rPr>
        <w:t>评标委员会应当对符合资格的投标人的投标文件进行符合性审查，以确定其是否满足招标文件的实质性要求。</w:t>
      </w:r>
    </w:p>
    <w:p>
      <w:pPr>
        <w:ind w:firstLine="480" w:firstLineChars="200"/>
        <w:rPr>
          <w:sz w:val="24"/>
          <w:szCs w:val="24"/>
          <w:lang w:val="en-GB"/>
        </w:rPr>
      </w:pPr>
      <w:r>
        <w:rPr>
          <w:rFonts w:hint="eastAsia"/>
          <w:sz w:val="24"/>
          <w:szCs w:val="24"/>
        </w:rPr>
        <w:t>评标委员会</w:t>
      </w:r>
      <w:r>
        <w:rPr>
          <w:rFonts w:hint="eastAsia"/>
          <w:sz w:val="24"/>
          <w:szCs w:val="24"/>
          <w:lang w:val="en-GB"/>
        </w:rPr>
        <w:t>仅依赖于投标人最基本的商业诚信和所递交投标文件的真实表述，不额外主动寻求外部证据，不受与本项目无直接关联的外部信息、传言而影响自身的专业判断。</w:t>
      </w:r>
    </w:p>
    <w:p>
      <w:pPr>
        <w:ind w:firstLine="480" w:firstLineChars="200"/>
        <w:rPr>
          <w:sz w:val="24"/>
          <w:szCs w:val="24"/>
        </w:rPr>
      </w:pPr>
      <w:r>
        <w:rPr>
          <w:rFonts w:hint="eastAsia"/>
          <w:sz w:val="24"/>
          <w:szCs w:val="24"/>
        </w:rPr>
        <w:t>对于投标文件中含义不明确、同类问题表述不一致或者有明显文字和计算错误的内容，评标委员会应当书面形式要求投标人作出必要的澄清、说明或者补正。</w:t>
      </w:r>
    </w:p>
    <w:p>
      <w:pPr>
        <w:ind w:firstLine="480" w:firstLineChars="200"/>
        <w:rPr>
          <w:sz w:val="24"/>
          <w:szCs w:val="24"/>
        </w:rPr>
      </w:pPr>
      <w:r>
        <w:rPr>
          <w:rFonts w:hint="eastAsia"/>
          <w:sz w:val="24"/>
          <w:szCs w:val="24"/>
        </w:rPr>
        <w:t>各投标人在开标、评标期间应及时回复评标委员会的提问，并在评标委员会规定时间内予以正确回应。规定时间内未做出相应正确回应，视为认同评审结果。</w:t>
      </w:r>
    </w:p>
    <w:p>
      <w:pPr>
        <w:ind w:firstLine="480" w:firstLineChars="200"/>
        <w:jc w:val="left"/>
        <w:rPr>
          <w:sz w:val="24"/>
          <w:szCs w:val="24"/>
        </w:rPr>
      </w:pPr>
      <w:r>
        <w:rPr>
          <w:rFonts w:hint="eastAsia"/>
          <w:sz w:val="24"/>
          <w:szCs w:val="24"/>
        </w:rPr>
        <w:t>评标委员会应当按照招标文件中规定的评标方法和标准，对符合性审查合格的投标文件进行商务和技术评估，综合比较与评价。</w:t>
      </w:r>
    </w:p>
    <w:p>
      <w:pPr>
        <w:ind w:firstLine="480" w:firstLineChars="200"/>
        <w:rPr>
          <w:sz w:val="24"/>
          <w:szCs w:val="24"/>
        </w:rPr>
      </w:pPr>
      <w:r>
        <w:rPr>
          <w:rFonts w:hint="eastAsia"/>
          <w:sz w:val="24"/>
          <w:szCs w:val="24"/>
        </w:rPr>
        <w:t>评标委员会成员对需要共同认定的事项存在争议的，应当按照少数服从多数的原则作出结论。持不同意见的评标委员会成员应当在评标报告上签署不同意见及理由，否则视为同意评标报告。评标结果汇总完成后，除下列情形外，任何人不得修改评标结果：</w:t>
      </w:r>
    </w:p>
    <w:p>
      <w:pPr>
        <w:ind w:firstLine="480" w:firstLineChars="200"/>
        <w:rPr>
          <w:sz w:val="24"/>
          <w:szCs w:val="24"/>
        </w:rPr>
      </w:pPr>
      <w:r>
        <w:rPr>
          <w:rFonts w:hint="eastAsia"/>
          <w:sz w:val="24"/>
          <w:szCs w:val="24"/>
        </w:rPr>
        <w:t>A分值汇总计算错误的。</w:t>
      </w:r>
    </w:p>
    <w:p>
      <w:pPr>
        <w:ind w:firstLine="480" w:firstLineChars="200"/>
        <w:rPr>
          <w:sz w:val="24"/>
          <w:szCs w:val="24"/>
        </w:rPr>
      </w:pPr>
      <w:r>
        <w:rPr>
          <w:rFonts w:hint="eastAsia"/>
          <w:sz w:val="24"/>
          <w:szCs w:val="24"/>
        </w:rPr>
        <w:t>B分项评分超出评分标准范围的。</w:t>
      </w:r>
    </w:p>
    <w:p>
      <w:pPr>
        <w:ind w:firstLine="480" w:firstLineChars="200"/>
        <w:rPr>
          <w:sz w:val="24"/>
          <w:szCs w:val="24"/>
        </w:rPr>
      </w:pPr>
      <w:r>
        <w:rPr>
          <w:rFonts w:hint="eastAsia"/>
          <w:sz w:val="24"/>
          <w:szCs w:val="24"/>
        </w:rPr>
        <w:t>C评标委员会成员对客观评审因素评分不一致的。</w:t>
      </w:r>
    </w:p>
    <w:p>
      <w:pPr>
        <w:ind w:firstLine="480" w:firstLineChars="200"/>
        <w:rPr>
          <w:sz w:val="24"/>
          <w:szCs w:val="24"/>
        </w:rPr>
      </w:pPr>
      <w:r>
        <w:rPr>
          <w:rFonts w:hint="eastAsia"/>
          <w:sz w:val="24"/>
          <w:szCs w:val="24"/>
        </w:rPr>
        <w:t>D经评标委员会认定评分畸高、畸低的。</w:t>
      </w:r>
    </w:p>
    <w:p>
      <w:pPr>
        <w:ind w:firstLine="480" w:firstLineChars="200"/>
        <w:rPr>
          <w:sz w:val="24"/>
          <w:szCs w:val="24"/>
        </w:rPr>
      </w:pPr>
      <w:r>
        <w:rPr>
          <w:rFonts w:hint="eastAsia"/>
          <w:sz w:val="24"/>
          <w:szCs w:val="24"/>
        </w:rPr>
        <w:t>评标报告签署前，经复核发现存在以上情形之一的，评标委员会应当当场修改评标结果，并在评标报告中记载。评标报告签署后，采购人发现存在以上情形之一的，应当组织原评标委员会进行重新评审，重新评审改变评标结果的，书面报告本级财政部门。</w:t>
      </w:r>
    </w:p>
    <w:p>
      <w:pPr>
        <w:ind w:firstLine="480" w:firstLineChars="200"/>
        <w:rPr>
          <w:sz w:val="24"/>
          <w:szCs w:val="24"/>
        </w:rPr>
      </w:pPr>
      <w:r>
        <w:rPr>
          <w:rFonts w:hint="eastAsia"/>
          <w:sz w:val="24"/>
          <w:szCs w:val="24"/>
        </w:rPr>
        <w:t>投标人对本条第一款（分值汇总计算错误的）情形提出质疑的，采购人可以组织原评标委员会进行重新评审，重新评审改变评标结果的，应当书面报告本级财政部门。</w:t>
      </w:r>
    </w:p>
    <w:p>
      <w:pPr>
        <w:ind w:firstLine="482" w:firstLineChars="200"/>
        <w:rPr>
          <w:sz w:val="24"/>
          <w:szCs w:val="24"/>
        </w:rPr>
      </w:pPr>
      <w:r>
        <w:rPr>
          <w:rFonts w:hint="eastAsia"/>
          <w:b/>
          <w:bCs/>
          <w:sz w:val="24"/>
          <w:szCs w:val="24"/>
        </w:rPr>
        <w:t>本次招标采用综合评分法。</w:t>
      </w:r>
      <w:r>
        <w:rPr>
          <w:rFonts w:hint="eastAsia"/>
          <w:sz w:val="24"/>
          <w:szCs w:val="24"/>
        </w:rPr>
        <w:t>是指投标文件满足招标文件全部实质性要求，且按照评审因素的量化指标评审得分最高的投标人为中标候选人的评标方法。</w:t>
      </w:r>
    </w:p>
    <w:p>
      <w:pPr>
        <w:ind w:firstLine="480" w:firstLineChars="200"/>
        <w:rPr>
          <w:rFonts w:hint="eastAsia"/>
          <w:sz w:val="24"/>
          <w:szCs w:val="24"/>
        </w:rPr>
      </w:pPr>
      <w:r>
        <w:rPr>
          <w:rFonts w:hint="eastAsia"/>
          <w:sz w:val="24"/>
          <w:szCs w:val="24"/>
        </w:rPr>
        <w:t>采用综合评分法的，评标结果按评审后得分由高到低顺序排列。得分相同的，由评审委员会按照投标文件满足招标文件全部实质性要求，且按照评审因素的量化指标评审得分最高的投标人为排名第一的中标候选人。</w:t>
      </w:r>
    </w:p>
    <w:p>
      <w:pPr>
        <w:ind w:firstLine="482" w:firstLineChars="200"/>
        <w:rPr>
          <w:b/>
          <w:sz w:val="24"/>
          <w:szCs w:val="24"/>
        </w:rPr>
      </w:pPr>
      <w:r>
        <w:rPr>
          <w:b/>
          <w:sz w:val="24"/>
          <w:szCs w:val="24"/>
        </w:rPr>
        <w:t>(</w:t>
      </w:r>
      <w:r>
        <w:rPr>
          <w:rFonts w:hint="eastAsia"/>
          <w:b/>
          <w:sz w:val="24"/>
          <w:szCs w:val="24"/>
        </w:rPr>
        <w:t>七</w:t>
      </w:r>
      <w:r>
        <w:rPr>
          <w:b/>
          <w:sz w:val="24"/>
          <w:szCs w:val="24"/>
        </w:rPr>
        <w:t>)</w:t>
      </w:r>
      <w:r>
        <w:rPr>
          <w:rFonts w:hint="eastAsia"/>
          <w:b/>
          <w:sz w:val="24"/>
          <w:szCs w:val="24"/>
        </w:rPr>
        <w:t>评标委员会根据全体评标成员签字的原始评标记录和评标结果编写评标报告。评标报告应当包括以下内容</w:t>
      </w:r>
    </w:p>
    <w:p>
      <w:pPr>
        <w:ind w:firstLine="480" w:firstLineChars="200"/>
        <w:rPr>
          <w:bCs/>
          <w:sz w:val="24"/>
          <w:szCs w:val="24"/>
        </w:rPr>
      </w:pPr>
      <w:r>
        <w:rPr>
          <w:rFonts w:hint="eastAsia"/>
          <w:bCs/>
          <w:sz w:val="24"/>
          <w:szCs w:val="24"/>
        </w:rPr>
        <w:t>1.招标公告刊登的媒体名称、开标日期和地点。</w:t>
      </w:r>
    </w:p>
    <w:p>
      <w:pPr>
        <w:ind w:firstLine="480" w:firstLineChars="200"/>
        <w:rPr>
          <w:bCs/>
          <w:sz w:val="24"/>
          <w:szCs w:val="24"/>
        </w:rPr>
      </w:pPr>
      <w:r>
        <w:rPr>
          <w:rFonts w:hint="eastAsia"/>
          <w:bCs/>
          <w:sz w:val="24"/>
          <w:szCs w:val="24"/>
        </w:rPr>
        <w:t>2.投标人名单和评标委员会成员名单。</w:t>
      </w:r>
    </w:p>
    <w:p>
      <w:pPr>
        <w:ind w:firstLine="480" w:firstLineChars="200"/>
        <w:rPr>
          <w:bCs/>
          <w:sz w:val="24"/>
          <w:szCs w:val="24"/>
        </w:rPr>
      </w:pPr>
      <w:r>
        <w:rPr>
          <w:rFonts w:hint="eastAsia"/>
          <w:bCs/>
          <w:sz w:val="24"/>
          <w:szCs w:val="24"/>
        </w:rPr>
        <w:t>3.评标方法和标准。</w:t>
      </w:r>
    </w:p>
    <w:p>
      <w:pPr>
        <w:ind w:firstLine="480" w:firstLineChars="200"/>
        <w:rPr>
          <w:bCs/>
          <w:sz w:val="24"/>
          <w:szCs w:val="24"/>
        </w:rPr>
      </w:pPr>
      <w:r>
        <w:rPr>
          <w:rFonts w:hint="eastAsia"/>
          <w:bCs/>
          <w:sz w:val="24"/>
          <w:szCs w:val="24"/>
        </w:rPr>
        <w:t>4.开标记录和评标情况及说明，包括无效投标人名单及原因。</w:t>
      </w:r>
    </w:p>
    <w:p>
      <w:pPr>
        <w:ind w:firstLine="480" w:firstLineChars="200"/>
        <w:rPr>
          <w:bCs/>
          <w:sz w:val="24"/>
          <w:szCs w:val="24"/>
        </w:rPr>
      </w:pPr>
      <w:r>
        <w:rPr>
          <w:rFonts w:hint="eastAsia"/>
          <w:bCs/>
          <w:sz w:val="24"/>
          <w:szCs w:val="24"/>
        </w:rPr>
        <w:t>5.评标结果，确定的中标候选人名单或者经采购人委托直接确定的中标人。</w:t>
      </w:r>
    </w:p>
    <w:p>
      <w:pPr>
        <w:ind w:firstLine="480" w:firstLineChars="200"/>
        <w:rPr>
          <w:bCs/>
          <w:sz w:val="24"/>
          <w:szCs w:val="24"/>
        </w:rPr>
      </w:pPr>
      <w:r>
        <w:rPr>
          <w:rFonts w:hint="eastAsia"/>
          <w:bCs/>
          <w:sz w:val="24"/>
          <w:szCs w:val="24"/>
        </w:rPr>
        <w:t>6.其他需要说明的情况，包括评标过程中投标人根据评标委员会要求进行的澄清、说明或者补正，评标委员会成员的更换等。</w:t>
      </w:r>
    </w:p>
    <w:p>
      <w:pPr>
        <w:ind w:firstLine="482" w:firstLineChars="200"/>
        <w:rPr>
          <w:b/>
          <w:sz w:val="24"/>
          <w:szCs w:val="24"/>
        </w:rPr>
      </w:pPr>
      <w:r>
        <w:rPr>
          <w:b/>
          <w:sz w:val="24"/>
          <w:szCs w:val="24"/>
        </w:rPr>
        <w:t xml:space="preserve"> (</w:t>
      </w:r>
      <w:r>
        <w:rPr>
          <w:rFonts w:hint="eastAsia"/>
          <w:b/>
          <w:sz w:val="24"/>
          <w:szCs w:val="24"/>
        </w:rPr>
        <w:t>八</w:t>
      </w:r>
      <w:r>
        <w:rPr>
          <w:b/>
          <w:sz w:val="24"/>
          <w:szCs w:val="24"/>
        </w:rPr>
        <w:t>)</w:t>
      </w:r>
      <w:r>
        <w:rPr>
          <w:rFonts w:hint="eastAsia"/>
          <w:b/>
          <w:sz w:val="24"/>
          <w:szCs w:val="24"/>
        </w:rPr>
        <w:t>报价修正</w:t>
      </w:r>
    </w:p>
    <w:p>
      <w:pPr>
        <w:ind w:firstLine="480" w:firstLineChars="200"/>
        <w:rPr>
          <w:sz w:val="24"/>
          <w:szCs w:val="24"/>
        </w:rPr>
      </w:pPr>
      <w:r>
        <w:rPr>
          <w:rFonts w:hint="eastAsia"/>
          <w:sz w:val="24"/>
          <w:szCs w:val="24"/>
        </w:rPr>
        <w:t>投标文件报价出现前后不一致的，除招标文件另有规定外，按照下列规定修正：</w:t>
      </w:r>
    </w:p>
    <w:p>
      <w:pPr>
        <w:ind w:firstLine="480" w:firstLineChars="200"/>
        <w:rPr>
          <w:sz w:val="24"/>
          <w:szCs w:val="24"/>
        </w:rPr>
      </w:pPr>
      <w:r>
        <w:rPr>
          <w:rFonts w:hint="eastAsia"/>
          <w:sz w:val="24"/>
          <w:szCs w:val="24"/>
        </w:rPr>
        <w:t>1.投标文件中开标一览表（报价表）内容与投标文件中相应内容不一致的，以开标一览表（报价表）为准。</w:t>
      </w:r>
    </w:p>
    <w:p>
      <w:pPr>
        <w:ind w:firstLine="480" w:firstLineChars="200"/>
        <w:rPr>
          <w:sz w:val="24"/>
          <w:szCs w:val="24"/>
        </w:rPr>
      </w:pPr>
      <w:r>
        <w:rPr>
          <w:rFonts w:hint="eastAsia"/>
          <w:sz w:val="24"/>
          <w:szCs w:val="24"/>
        </w:rPr>
        <w:t>2.大写金额和小写金额不一致的，以大写金额为准。</w:t>
      </w:r>
    </w:p>
    <w:p>
      <w:pPr>
        <w:ind w:firstLine="480" w:firstLineChars="200"/>
        <w:rPr>
          <w:sz w:val="24"/>
          <w:szCs w:val="24"/>
        </w:rPr>
      </w:pPr>
      <w:r>
        <w:rPr>
          <w:rFonts w:hint="eastAsia"/>
          <w:sz w:val="24"/>
          <w:szCs w:val="24"/>
        </w:rPr>
        <w:t>3.单价金额小数点或者百分比有明显错位的，以开标一览表的总价为准，并修改单价。</w:t>
      </w:r>
    </w:p>
    <w:p>
      <w:pPr>
        <w:ind w:firstLine="480" w:firstLineChars="200"/>
        <w:rPr>
          <w:sz w:val="24"/>
          <w:szCs w:val="24"/>
        </w:rPr>
      </w:pPr>
      <w:r>
        <w:rPr>
          <w:rFonts w:hint="eastAsia"/>
          <w:sz w:val="24"/>
          <w:szCs w:val="24"/>
        </w:rPr>
        <w:t>4.总价金额与按单价汇总金额不一致的，以单价金额计算结果为准。</w:t>
      </w:r>
    </w:p>
    <w:p>
      <w:pPr>
        <w:ind w:firstLine="480" w:firstLineChars="200"/>
        <w:rPr>
          <w:sz w:val="24"/>
          <w:szCs w:val="24"/>
        </w:rPr>
      </w:pPr>
      <w:r>
        <w:rPr>
          <w:rFonts w:hint="eastAsia"/>
          <w:sz w:val="24"/>
          <w:szCs w:val="24"/>
        </w:rPr>
        <w:t>5.同时出现两种以上不一致的，按照前款规定的顺序修正。修正后的报价按照财政部第87号令第五十一条第二款的规定经投标人确认后产生约束力，投标人不确认的，其投标无效。</w:t>
      </w:r>
    </w:p>
    <w:p>
      <w:pPr>
        <w:ind w:firstLine="482" w:firstLineChars="200"/>
        <w:rPr>
          <w:b/>
          <w:sz w:val="24"/>
          <w:szCs w:val="24"/>
        </w:rPr>
      </w:pPr>
      <w:r>
        <w:rPr>
          <w:rFonts w:hint="eastAsia"/>
          <w:b/>
          <w:sz w:val="24"/>
          <w:szCs w:val="24"/>
        </w:rPr>
        <w:t>（九）废标及无效投标</w:t>
      </w:r>
    </w:p>
    <w:p>
      <w:pPr>
        <w:ind w:firstLine="480" w:firstLineChars="200"/>
        <w:rPr>
          <w:bCs/>
          <w:sz w:val="24"/>
          <w:szCs w:val="24"/>
        </w:rPr>
      </w:pPr>
      <w:r>
        <w:rPr>
          <w:rFonts w:hint="eastAsia"/>
          <w:bCs/>
          <w:sz w:val="24"/>
          <w:szCs w:val="24"/>
        </w:rPr>
        <w:t>1.在招标采购中，出现下列情形之一的，应予废标：</w:t>
      </w:r>
    </w:p>
    <w:p>
      <w:pPr>
        <w:ind w:firstLine="480" w:firstLineChars="200"/>
        <w:rPr>
          <w:bCs/>
          <w:sz w:val="24"/>
          <w:szCs w:val="24"/>
        </w:rPr>
      </w:pPr>
      <w:r>
        <w:rPr>
          <w:rFonts w:hint="eastAsia"/>
          <w:bCs/>
          <w:sz w:val="24"/>
          <w:szCs w:val="24"/>
        </w:rPr>
        <w:t>1.1符合专业条件的投标人或者对招标文件作实质响应的投标人不足三家的。</w:t>
      </w:r>
    </w:p>
    <w:p>
      <w:pPr>
        <w:ind w:firstLine="480" w:firstLineChars="200"/>
        <w:rPr>
          <w:bCs/>
          <w:sz w:val="24"/>
          <w:szCs w:val="24"/>
        </w:rPr>
      </w:pPr>
      <w:r>
        <w:rPr>
          <w:rFonts w:hint="eastAsia"/>
          <w:bCs/>
          <w:sz w:val="24"/>
          <w:szCs w:val="24"/>
        </w:rPr>
        <w:t>1.2出现影响采购公正的违法、违规行为的。</w:t>
      </w:r>
    </w:p>
    <w:p>
      <w:pPr>
        <w:ind w:firstLine="480" w:firstLineChars="200"/>
        <w:rPr>
          <w:bCs/>
          <w:sz w:val="24"/>
          <w:szCs w:val="24"/>
        </w:rPr>
      </w:pPr>
      <w:r>
        <w:rPr>
          <w:rFonts w:hint="eastAsia"/>
          <w:bCs/>
          <w:sz w:val="24"/>
          <w:szCs w:val="24"/>
        </w:rPr>
        <w:t>1.3投标人的报价均超过了采购预算，采购人不能支付的。</w:t>
      </w:r>
    </w:p>
    <w:p>
      <w:pPr>
        <w:ind w:firstLine="480" w:firstLineChars="200"/>
        <w:rPr>
          <w:bCs/>
          <w:sz w:val="24"/>
          <w:szCs w:val="24"/>
        </w:rPr>
      </w:pPr>
      <w:r>
        <w:rPr>
          <w:rFonts w:hint="eastAsia"/>
          <w:bCs/>
          <w:sz w:val="24"/>
          <w:szCs w:val="24"/>
        </w:rPr>
        <w:t>1.4因重大变故，采购任务取消的。</w:t>
      </w:r>
    </w:p>
    <w:p>
      <w:pPr>
        <w:ind w:firstLine="480" w:firstLineChars="200"/>
        <w:rPr>
          <w:bCs/>
          <w:sz w:val="24"/>
          <w:szCs w:val="24"/>
        </w:rPr>
      </w:pPr>
      <w:r>
        <w:rPr>
          <w:rFonts w:hint="eastAsia"/>
          <w:bCs/>
          <w:sz w:val="24"/>
          <w:szCs w:val="24"/>
        </w:rPr>
        <w:t>废标后，采购人应当将废标理由通知所有投标人。</w:t>
      </w:r>
    </w:p>
    <w:p>
      <w:pPr>
        <w:ind w:firstLine="480" w:firstLineChars="200"/>
        <w:rPr>
          <w:bCs/>
          <w:sz w:val="24"/>
          <w:szCs w:val="24"/>
        </w:rPr>
      </w:pPr>
      <w:r>
        <w:rPr>
          <w:rFonts w:hint="eastAsia"/>
          <w:bCs/>
          <w:sz w:val="24"/>
          <w:szCs w:val="24"/>
        </w:rPr>
        <w:t>2.投标人存在下列情况之一的，投标无效:</w:t>
      </w:r>
    </w:p>
    <w:p>
      <w:pPr>
        <w:ind w:firstLine="480" w:firstLineChars="200"/>
        <w:rPr>
          <w:bCs/>
          <w:sz w:val="24"/>
          <w:szCs w:val="24"/>
        </w:rPr>
      </w:pPr>
      <w:r>
        <w:rPr>
          <w:rFonts w:hint="eastAsia"/>
          <w:bCs/>
          <w:sz w:val="24"/>
          <w:szCs w:val="24"/>
        </w:rPr>
        <w:t>2.1投标文件未按招标文件要求签署、盖章的。</w:t>
      </w:r>
    </w:p>
    <w:p>
      <w:pPr>
        <w:ind w:firstLine="480" w:firstLineChars="200"/>
        <w:rPr>
          <w:bCs/>
          <w:sz w:val="24"/>
          <w:szCs w:val="24"/>
        </w:rPr>
      </w:pPr>
      <w:r>
        <w:rPr>
          <w:rFonts w:hint="eastAsia"/>
          <w:bCs/>
          <w:sz w:val="24"/>
          <w:szCs w:val="24"/>
        </w:rPr>
        <w:t>2.2不具备招标文件中规定的资格要求的。</w:t>
      </w:r>
    </w:p>
    <w:p>
      <w:pPr>
        <w:ind w:firstLine="480" w:firstLineChars="200"/>
        <w:rPr>
          <w:bCs/>
          <w:sz w:val="24"/>
          <w:szCs w:val="24"/>
        </w:rPr>
      </w:pPr>
      <w:r>
        <w:rPr>
          <w:rFonts w:hint="eastAsia"/>
          <w:bCs/>
          <w:sz w:val="24"/>
          <w:szCs w:val="24"/>
        </w:rPr>
        <w:t>2.3报价超过招标文件中规定的预算金额或者最高限价的。</w:t>
      </w:r>
    </w:p>
    <w:p>
      <w:pPr>
        <w:ind w:firstLine="480" w:firstLineChars="200"/>
        <w:rPr>
          <w:bCs/>
          <w:sz w:val="24"/>
          <w:szCs w:val="24"/>
        </w:rPr>
      </w:pPr>
      <w:r>
        <w:rPr>
          <w:rFonts w:hint="eastAsia"/>
          <w:bCs/>
          <w:sz w:val="24"/>
          <w:szCs w:val="24"/>
        </w:rPr>
        <w:t>2.4投标文件含有采购人不能接受的附加条件的。</w:t>
      </w:r>
    </w:p>
    <w:p>
      <w:pPr>
        <w:ind w:firstLine="480" w:firstLineChars="200"/>
        <w:rPr>
          <w:bCs/>
          <w:sz w:val="24"/>
          <w:szCs w:val="24"/>
        </w:rPr>
      </w:pPr>
      <w:r>
        <w:rPr>
          <w:rFonts w:hint="eastAsia"/>
          <w:bCs/>
          <w:sz w:val="24"/>
          <w:szCs w:val="24"/>
        </w:rPr>
        <w:t>2.5法律、法规和招标文件规定的其他无效情形。</w:t>
      </w:r>
    </w:p>
    <w:p>
      <w:pPr>
        <w:ind w:firstLine="482" w:firstLineChars="200"/>
        <w:rPr>
          <w:b/>
          <w:sz w:val="24"/>
          <w:szCs w:val="24"/>
        </w:rPr>
      </w:pPr>
      <w:r>
        <w:rPr>
          <w:rFonts w:hint="eastAsia"/>
          <w:b/>
          <w:sz w:val="24"/>
          <w:szCs w:val="24"/>
        </w:rPr>
        <w:t>（十）重新组织采购及保密</w:t>
      </w:r>
    </w:p>
    <w:p>
      <w:pPr>
        <w:ind w:firstLine="480" w:firstLineChars="200"/>
        <w:rPr>
          <w:bCs/>
          <w:sz w:val="24"/>
          <w:szCs w:val="24"/>
        </w:rPr>
      </w:pPr>
      <w:r>
        <w:rPr>
          <w:rFonts w:hint="eastAsia"/>
          <w:bCs/>
          <w:sz w:val="24"/>
          <w:szCs w:val="24"/>
        </w:rPr>
        <w:t>1.评标委员会发现招标文件存在歧义、重大缺陷导致评标工作无法进行，或者招标文件内容违反国家有关强制性规定的，应当停止评标工作，与采购人沟通并作书面记录。采购人确认后，应当修改招标文件，重新组织采购活动。</w:t>
      </w:r>
    </w:p>
    <w:p>
      <w:pPr>
        <w:ind w:firstLine="480" w:firstLineChars="200"/>
        <w:rPr>
          <w:bCs/>
          <w:sz w:val="24"/>
          <w:szCs w:val="24"/>
        </w:rPr>
      </w:pPr>
      <w:r>
        <w:rPr>
          <w:rFonts w:hint="eastAsia"/>
          <w:bCs/>
          <w:sz w:val="24"/>
          <w:szCs w:val="24"/>
        </w:rPr>
        <w:t>2.评标委员会或者其成员存在下列情形导致评标结果无效的，采购人可以重新组建评标委员会进行评标，并书面报告本级财政部门，但采购合同已经履行的除外：</w:t>
      </w:r>
    </w:p>
    <w:p>
      <w:pPr>
        <w:ind w:firstLine="480" w:firstLineChars="200"/>
        <w:rPr>
          <w:bCs/>
          <w:sz w:val="24"/>
          <w:szCs w:val="24"/>
        </w:rPr>
      </w:pPr>
      <w:r>
        <w:rPr>
          <w:rFonts w:hint="eastAsia"/>
          <w:bCs/>
          <w:sz w:val="24"/>
          <w:szCs w:val="24"/>
        </w:rPr>
        <w:t>2.1评标委员会组成不符合财政部第87号令规定的。</w:t>
      </w:r>
    </w:p>
    <w:p>
      <w:pPr>
        <w:ind w:firstLine="480" w:firstLineChars="200"/>
        <w:rPr>
          <w:bCs/>
          <w:sz w:val="24"/>
          <w:szCs w:val="24"/>
        </w:rPr>
      </w:pPr>
      <w:r>
        <w:rPr>
          <w:rFonts w:hint="eastAsia"/>
          <w:bCs/>
          <w:sz w:val="24"/>
          <w:szCs w:val="24"/>
        </w:rPr>
        <w:t>2.2有财政部第87号令第六十二条第一至五项情形的。</w:t>
      </w:r>
    </w:p>
    <w:p>
      <w:pPr>
        <w:ind w:firstLine="480" w:firstLineChars="200"/>
        <w:rPr>
          <w:bCs/>
          <w:sz w:val="24"/>
          <w:szCs w:val="24"/>
        </w:rPr>
      </w:pPr>
      <w:r>
        <w:rPr>
          <w:rFonts w:hint="eastAsia"/>
          <w:bCs/>
          <w:sz w:val="24"/>
          <w:szCs w:val="24"/>
        </w:rPr>
        <w:t>2.3评标委员会及其成员独立评标受到非法干预的。</w:t>
      </w:r>
    </w:p>
    <w:p>
      <w:pPr>
        <w:ind w:firstLine="480" w:firstLineChars="200"/>
        <w:rPr>
          <w:bCs/>
          <w:sz w:val="24"/>
          <w:szCs w:val="24"/>
        </w:rPr>
      </w:pPr>
      <w:r>
        <w:rPr>
          <w:rFonts w:hint="eastAsia"/>
          <w:bCs/>
          <w:sz w:val="24"/>
          <w:szCs w:val="24"/>
        </w:rPr>
        <w:t>2.4有政府采购法实施条例第七十五条规定的违法行为的。</w:t>
      </w:r>
    </w:p>
    <w:p>
      <w:pPr>
        <w:ind w:firstLine="480" w:firstLineChars="200"/>
        <w:rPr>
          <w:bCs/>
          <w:sz w:val="24"/>
          <w:szCs w:val="24"/>
        </w:rPr>
      </w:pPr>
      <w:r>
        <w:rPr>
          <w:rFonts w:hint="eastAsia"/>
          <w:bCs/>
          <w:sz w:val="24"/>
          <w:szCs w:val="24"/>
        </w:rPr>
        <w:t>有违法违规行为的原评标委员会成员不得参加重新组建的评标委员会。</w:t>
      </w:r>
    </w:p>
    <w:p>
      <w:pPr>
        <w:ind w:firstLine="480" w:firstLineChars="200"/>
        <w:rPr>
          <w:bCs/>
          <w:sz w:val="24"/>
          <w:szCs w:val="24"/>
        </w:rPr>
      </w:pPr>
      <w:r>
        <w:rPr>
          <w:rFonts w:hint="eastAsia"/>
          <w:bCs/>
          <w:sz w:val="24"/>
          <w:szCs w:val="24"/>
        </w:rPr>
        <w:t>3.采购人应当采取必要措施，保证评标在严格保密的情况下进行。除采购人代表、评标现场组织人员外，采购人的其他工作人员以及与评标工作无关的人员不得进入评标现场。</w:t>
      </w:r>
    </w:p>
    <w:p>
      <w:pPr>
        <w:ind w:firstLine="480" w:firstLineChars="200"/>
        <w:rPr>
          <w:b/>
        </w:rPr>
      </w:pPr>
      <w:r>
        <w:rPr>
          <w:rFonts w:hint="eastAsia"/>
          <w:bCs/>
          <w:sz w:val="24"/>
          <w:szCs w:val="24"/>
        </w:rPr>
        <w:t>有关人员对评标情况以及在评标过程中获悉的国家秘密、商业秘密负有保密责任。</w:t>
      </w:r>
    </w:p>
    <w:p>
      <w:pPr>
        <w:jc w:val="center"/>
        <w:outlineLvl w:val="1"/>
        <w:rPr>
          <w:b/>
        </w:rPr>
      </w:pPr>
      <w:r>
        <w:rPr>
          <w:rFonts w:hint="eastAsia"/>
          <w:b/>
        </w:rPr>
        <w:t>六、中标和合同</w:t>
      </w:r>
    </w:p>
    <w:p>
      <w:pPr>
        <w:ind w:firstLine="482" w:firstLineChars="200"/>
        <w:rPr>
          <w:b/>
          <w:bCs w:val="0"/>
          <w:sz w:val="24"/>
          <w:szCs w:val="24"/>
        </w:rPr>
      </w:pPr>
      <w:r>
        <w:rPr>
          <w:rFonts w:hint="eastAsia"/>
          <w:b/>
          <w:bCs w:val="0"/>
          <w:sz w:val="24"/>
          <w:szCs w:val="24"/>
        </w:rPr>
        <w:t>（一）中标</w:t>
      </w:r>
    </w:p>
    <w:p>
      <w:pPr>
        <w:ind w:firstLine="480" w:firstLineChars="200"/>
        <w:rPr>
          <w:bCs/>
          <w:sz w:val="24"/>
          <w:szCs w:val="24"/>
        </w:rPr>
      </w:pPr>
      <w:r>
        <w:rPr>
          <w:rFonts w:hint="eastAsia"/>
          <w:bCs/>
          <w:sz w:val="24"/>
          <w:szCs w:val="24"/>
        </w:rPr>
        <w:t>1.确定中标单位后，采购人将在三个工作日内，向中标单位发出中标通知书，并同时将中标结果通知所有未中标的投标人。中标通知书将成为合同的组成部分。</w:t>
      </w:r>
    </w:p>
    <w:p>
      <w:pPr>
        <w:ind w:firstLine="480" w:firstLineChars="200"/>
        <w:rPr>
          <w:bCs/>
          <w:sz w:val="24"/>
          <w:szCs w:val="24"/>
        </w:rPr>
      </w:pPr>
      <w:r>
        <w:rPr>
          <w:rFonts w:hint="eastAsia"/>
          <w:bCs/>
          <w:sz w:val="24"/>
          <w:szCs w:val="24"/>
        </w:rPr>
        <w:t>2.中标单位收到中标通知书后，应在30日内与采购人签订合同。</w:t>
      </w:r>
    </w:p>
    <w:p>
      <w:pPr>
        <w:ind w:firstLine="482" w:firstLineChars="200"/>
        <w:rPr>
          <w:b/>
          <w:bCs w:val="0"/>
          <w:sz w:val="24"/>
          <w:szCs w:val="24"/>
        </w:rPr>
      </w:pPr>
      <w:r>
        <w:rPr>
          <w:rFonts w:hint="eastAsia"/>
          <w:b/>
          <w:bCs w:val="0"/>
          <w:sz w:val="24"/>
          <w:szCs w:val="24"/>
        </w:rPr>
        <w:t>（二）合同签订</w:t>
      </w:r>
    </w:p>
    <w:p>
      <w:pPr>
        <w:ind w:firstLine="480" w:firstLineChars="200"/>
        <w:rPr>
          <w:sz w:val="24"/>
          <w:szCs w:val="24"/>
        </w:rPr>
      </w:pPr>
      <w:r>
        <w:rPr>
          <w:rFonts w:hint="eastAsia"/>
          <w:bCs/>
          <w:sz w:val="24"/>
          <w:szCs w:val="24"/>
        </w:rPr>
        <w:t>1.采购人与中标人将根据《中华人民共和国合同法》、《中华人民共和国招标投标法》的规定，依据招标文件和投标文件签订合同。</w:t>
      </w:r>
    </w:p>
    <w:p>
      <w:pPr>
        <w:numPr>
          <w:ilvl w:val="0"/>
          <w:numId w:val="4"/>
        </w:numPr>
        <w:ind w:firstLine="482" w:firstLineChars="200"/>
        <w:jc w:val="center"/>
        <w:rPr>
          <w:b/>
          <w:bCs/>
          <w:sz w:val="24"/>
          <w:szCs w:val="24"/>
        </w:rPr>
      </w:pPr>
      <w:r>
        <w:rPr>
          <w:rFonts w:hint="eastAsia"/>
          <w:b/>
          <w:bCs/>
          <w:sz w:val="24"/>
          <w:szCs w:val="24"/>
        </w:rPr>
        <w:t>终止、分包、串标规定</w:t>
      </w:r>
    </w:p>
    <w:p>
      <w:pPr>
        <w:ind w:firstLine="482" w:firstLineChars="200"/>
        <w:rPr>
          <w:b/>
          <w:bCs/>
          <w:sz w:val="24"/>
          <w:szCs w:val="24"/>
        </w:rPr>
      </w:pPr>
      <w:r>
        <w:rPr>
          <w:rFonts w:hint="eastAsia"/>
          <w:b/>
          <w:bCs/>
          <w:sz w:val="24"/>
          <w:szCs w:val="24"/>
        </w:rPr>
        <w:t>（一）终止招标</w:t>
      </w:r>
    </w:p>
    <w:p>
      <w:pPr>
        <w:ind w:firstLine="480" w:firstLineChars="200"/>
        <w:jc w:val="left"/>
        <w:outlineLvl w:val="1"/>
        <w:rPr>
          <w:bCs/>
          <w:sz w:val="24"/>
          <w:szCs w:val="24"/>
        </w:rPr>
      </w:pPr>
      <w:r>
        <w:rPr>
          <w:rFonts w:hint="eastAsia"/>
          <w:bCs/>
          <w:sz w:val="24"/>
          <w:szCs w:val="24"/>
        </w:rPr>
        <w:t>采购人在发布招标公告、资格预审公告或者发出投标邀请书后，除因重大变故采购任务取消情况外，不得擅自终止招标活动。</w:t>
      </w:r>
    </w:p>
    <w:p>
      <w:pPr>
        <w:ind w:firstLine="562"/>
        <w:jc w:val="left"/>
        <w:outlineLvl w:val="1"/>
        <w:rPr>
          <w:bCs/>
          <w:sz w:val="24"/>
          <w:szCs w:val="24"/>
        </w:rPr>
      </w:pPr>
      <w:r>
        <w:rPr>
          <w:rFonts w:hint="eastAsia"/>
          <w:bCs/>
          <w:sz w:val="24"/>
          <w:szCs w:val="24"/>
        </w:rPr>
        <w:t>终止招标的，采购人应当及时在原公告发布媒体上发布终止公告，以书面形式通知已经获取招标文件、资格预审文件或者被邀请的潜在投标人，并将项目实施情况和采购任务取消原因报告本级财政部门。</w:t>
      </w:r>
    </w:p>
    <w:p>
      <w:pPr>
        <w:ind w:firstLine="482" w:firstLineChars="200"/>
        <w:outlineLvl w:val="1"/>
        <w:rPr>
          <w:b/>
          <w:sz w:val="24"/>
          <w:szCs w:val="24"/>
        </w:rPr>
      </w:pPr>
      <w:r>
        <w:rPr>
          <w:rFonts w:hint="eastAsia"/>
          <w:b/>
          <w:sz w:val="24"/>
          <w:szCs w:val="24"/>
        </w:rPr>
        <w:t>（二）分包规定</w:t>
      </w:r>
    </w:p>
    <w:p>
      <w:pPr>
        <w:ind w:firstLine="480" w:firstLineChars="200"/>
        <w:outlineLvl w:val="1"/>
        <w:rPr>
          <w:bCs/>
          <w:sz w:val="24"/>
          <w:szCs w:val="24"/>
        </w:rPr>
      </w:pPr>
      <w:r>
        <w:rPr>
          <w:rFonts w:hint="eastAsia"/>
          <w:bCs/>
          <w:sz w:val="24"/>
          <w:szCs w:val="24"/>
        </w:rPr>
        <w:t>本项目不允许分包。</w:t>
      </w:r>
    </w:p>
    <w:p>
      <w:pPr>
        <w:ind w:right="1" w:firstLine="482" w:firstLineChars="200"/>
        <w:rPr>
          <w:b/>
          <w:sz w:val="24"/>
          <w:szCs w:val="24"/>
        </w:rPr>
      </w:pPr>
      <w:r>
        <w:rPr>
          <w:rFonts w:hint="eastAsia"/>
          <w:b/>
          <w:sz w:val="24"/>
          <w:szCs w:val="24"/>
        </w:rPr>
        <w:t>（三）串标</w:t>
      </w:r>
    </w:p>
    <w:p>
      <w:pPr>
        <w:ind w:right="1" w:firstLine="480" w:firstLineChars="200"/>
        <w:rPr>
          <w:bCs/>
          <w:sz w:val="24"/>
          <w:szCs w:val="24"/>
        </w:rPr>
      </w:pPr>
      <w:r>
        <w:rPr>
          <w:rFonts w:hint="eastAsia"/>
          <w:bCs/>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ind w:right="1"/>
        <w:rPr>
          <w:bCs/>
          <w:sz w:val="24"/>
          <w:szCs w:val="24"/>
        </w:rPr>
      </w:pPr>
      <w:r>
        <w:rPr>
          <w:rFonts w:hint="eastAsia"/>
          <w:b/>
          <w:sz w:val="24"/>
          <w:szCs w:val="24"/>
        </w:rPr>
        <w:t xml:space="preserve">    </w:t>
      </w:r>
      <w:r>
        <w:rPr>
          <w:rFonts w:hint="eastAsia"/>
          <w:bCs/>
          <w:sz w:val="24"/>
          <w:szCs w:val="24"/>
        </w:rPr>
        <w:t>1.有下列情形之一的，属于恶意串通，对投标人依照政府采购法第七十七条第一款的规定追究法律责任，对采购人及其工作人员依照政府采购法第七十二条的规定追究法律责任：</w:t>
      </w:r>
      <w:r>
        <w:rPr>
          <w:rFonts w:hint="eastAsia"/>
          <w:bCs/>
          <w:sz w:val="24"/>
          <w:szCs w:val="24"/>
        </w:rPr>
        <w:br w:type="textWrapping"/>
      </w:r>
      <w:r>
        <w:rPr>
          <w:rFonts w:hint="eastAsia"/>
          <w:bCs/>
          <w:sz w:val="24"/>
          <w:szCs w:val="24"/>
        </w:rPr>
        <w:t>　　1.1投标人直接或者间接从采购人处获得其他投标人的相关情况并修改其投标文件。</w:t>
      </w:r>
      <w:r>
        <w:rPr>
          <w:rFonts w:hint="eastAsia"/>
          <w:bCs/>
          <w:sz w:val="24"/>
          <w:szCs w:val="24"/>
        </w:rPr>
        <w:br w:type="textWrapping"/>
      </w:r>
      <w:r>
        <w:rPr>
          <w:rFonts w:hint="eastAsia"/>
          <w:bCs/>
          <w:sz w:val="24"/>
          <w:szCs w:val="24"/>
        </w:rPr>
        <w:t>　　1.2投标人按照采购人的授意撤换、修改投标文件。</w:t>
      </w:r>
      <w:r>
        <w:rPr>
          <w:rFonts w:hint="eastAsia"/>
          <w:bCs/>
          <w:sz w:val="24"/>
          <w:szCs w:val="24"/>
        </w:rPr>
        <w:br w:type="textWrapping"/>
      </w:r>
      <w:r>
        <w:rPr>
          <w:rFonts w:hint="eastAsia"/>
          <w:bCs/>
          <w:sz w:val="24"/>
          <w:szCs w:val="24"/>
        </w:rPr>
        <w:t>　　1.3投标人之间协商报价、技术方案等投标文件的实质性内容。</w:t>
      </w:r>
      <w:r>
        <w:rPr>
          <w:rFonts w:hint="eastAsia"/>
          <w:bCs/>
          <w:sz w:val="24"/>
          <w:szCs w:val="24"/>
        </w:rPr>
        <w:br w:type="textWrapping"/>
      </w:r>
      <w:r>
        <w:rPr>
          <w:rFonts w:hint="eastAsia"/>
          <w:bCs/>
          <w:sz w:val="24"/>
          <w:szCs w:val="24"/>
        </w:rPr>
        <w:t>　　1.4属于同一集团、协会、商会等组织成员的投标人按照该组织要求协同参加政府采购活动。</w:t>
      </w:r>
      <w:r>
        <w:rPr>
          <w:rFonts w:hint="eastAsia"/>
          <w:bCs/>
          <w:sz w:val="24"/>
          <w:szCs w:val="24"/>
        </w:rPr>
        <w:br w:type="textWrapping"/>
      </w:r>
      <w:r>
        <w:rPr>
          <w:rFonts w:hint="eastAsia"/>
          <w:bCs/>
          <w:sz w:val="24"/>
          <w:szCs w:val="24"/>
        </w:rPr>
        <w:t>　　1.5投标人之间事先约定由某一特定投标人中标。</w:t>
      </w:r>
      <w:r>
        <w:rPr>
          <w:rFonts w:hint="eastAsia"/>
          <w:bCs/>
          <w:sz w:val="24"/>
          <w:szCs w:val="24"/>
        </w:rPr>
        <w:br w:type="textWrapping"/>
      </w:r>
      <w:r>
        <w:rPr>
          <w:rFonts w:hint="eastAsia"/>
          <w:bCs/>
          <w:sz w:val="24"/>
          <w:szCs w:val="24"/>
        </w:rPr>
        <w:t>　　1.6投标人之间商定部分投标人放弃参加政府采购活动或者放弃中标。</w:t>
      </w:r>
      <w:r>
        <w:rPr>
          <w:rFonts w:hint="eastAsia"/>
          <w:bCs/>
          <w:sz w:val="24"/>
          <w:szCs w:val="24"/>
        </w:rPr>
        <w:br w:type="textWrapping"/>
      </w:r>
      <w:r>
        <w:rPr>
          <w:rFonts w:hint="eastAsia"/>
          <w:bCs/>
          <w:sz w:val="24"/>
          <w:szCs w:val="24"/>
        </w:rPr>
        <w:t>　　1.7投标人与采购人或者投标人相互之间，为谋求特定投标人中标或者排斥其他投标人的其他串通行为。</w:t>
      </w:r>
      <w:r>
        <w:rPr>
          <w:rFonts w:hint="eastAsia"/>
          <w:bCs/>
          <w:sz w:val="24"/>
          <w:szCs w:val="24"/>
        </w:rPr>
        <w:br w:type="textWrapping"/>
      </w:r>
      <w:r>
        <w:rPr>
          <w:rFonts w:hint="eastAsia"/>
          <w:bCs/>
          <w:sz w:val="24"/>
          <w:szCs w:val="24"/>
        </w:rPr>
        <w:t xml:space="preserve">    2.有下列情形之一的，视为投标人串通投标，其投标无效：</w:t>
      </w:r>
    </w:p>
    <w:p>
      <w:pPr>
        <w:ind w:right="1"/>
        <w:rPr>
          <w:bCs/>
          <w:sz w:val="24"/>
          <w:szCs w:val="24"/>
        </w:rPr>
      </w:pPr>
      <w:r>
        <w:rPr>
          <w:rFonts w:hint="eastAsia"/>
          <w:bCs/>
          <w:sz w:val="24"/>
          <w:szCs w:val="24"/>
        </w:rPr>
        <w:t>　　2.1不同投标人的投标文件由同一单位或者个人编制。</w:t>
      </w:r>
    </w:p>
    <w:p>
      <w:pPr>
        <w:ind w:right="1"/>
        <w:rPr>
          <w:bCs/>
          <w:sz w:val="24"/>
          <w:szCs w:val="24"/>
        </w:rPr>
      </w:pPr>
      <w:r>
        <w:rPr>
          <w:rFonts w:hint="eastAsia"/>
          <w:bCs/>
          <w:sz w:val="24"/>
          <w:szCs w:val="24"/>
        </w:rPr>
        <w:t>　　2.2不同投标人委托同一单位或者个人办理投标事宜。</w:t>
      </w:r>
    </w:p>
    <w:p>
      <w:pPr>
        <w:ind w:right="1"/>
        <w:rPr>
          <w:bCs/>
          <w:sz w:val="24"/>
          <w:szCs w:val="24"/>
        </w:rPr>
      </w:pPr>
      <w:r>
        <w:rPr>
          <w:rFonts w:hint="eastAsia"/>
          <w:bCs/>
          <w:sz w:val="24"/>
          <w:szCs w:val="24"/>
        </w:rPr>
        <w:t>　　2.3不同投标人的投标文件载明的项目管理成员或者联系人员为同一人。</w:t>
      </w:r>
    </w:p>
    <w:p>
      <w:pPr>
        <w:ind w:right="1"/>
        <w:rPr>
          <w:bCs/>
          <w:sz w:val="24"/>
          <w:szCs w:val="24"/>
        </w:rPr>
      </w:pPr>
      <w:r>
        <w:rPr>
          <w:rFonts w:hint="eastAsia"/>
          <w:bCs/>
          <w:sz w:val="24"/>
          <w:szCs w:val="24"/>
        </w:rPr>
        <w:t>　　2.4不同投标人的投标文件异常一致或者投标报价呈规律性差异。</w:t>
      </w:r>
    </w:p>
    <w:p>
      <w:pPr>
        <w:ind w:right="1"/>
        <w:rPr>
          <w:bCs/>
          <w:sz w:val="24"/>
          <w:szCs w:val="24"/>
        </w:rPr>
      </w:pPr>
      <w:r>
        <w:rPr>
          <w:rFonts w:hint="eastAsia"/>
          <w:bCs/>
          <w:sz w:val="24"/>
          <w:szCs w:val="24"/>
        </w:rPr>
        <w:t>　　2.5不同投标人的投标文件相互混装。</w:t>
      </w:r>
    </w:p>
    <w:p>
      <w:pPr>
        <w:ind w:right="1" w:firstLine="480"/>
        <w:rPr>
          <w:bCs/>
          <w:sz w:val="24"/>
          <w:szCs w:val="24"/>
        </w:rPr>
      </w:pPr>
      <w:r>
        <w:rPr>
          <w:rFonts w:hint="eastAsia"/>
          <w:bCs/>
          <w:sz w:val="24"/>
          <w:szCs w:val="24"/>
        </w:rPr>
        <w:t>投标人应当遵循公平竞争的原则，不得恶意串通，不得妨碍其他投标人的竞争行为，不得损害采购人或者其他投标人的合法权益。</w:t>
      </w:r>
    </w:p>
    <w:p>
      <w:pPr>
        <w:ind w:right="1" w:firstLine="480"/>
        <w:rPr>
          <w:bCs/>
          <w:sz w:val="24"/>
          <w:szCs w:val="24"/>
        </w:rPr>
      </w:pPr>
      <w:r>
        <w:rPr>
          <w:rFonts w:hint="eastAsia"/>
          <w:bCs/>
          <w:sz w:val="24"/>
          <w:szCs w:val="24"/>
        </w:rPr>
        <w:t>在评标过程中发现投标人有上述情形的，评标委员会应当认定其投标无效，并书面报告本级财政部门。</w:t>
      </w:r>
    </w:p>
    <w:p>
      <w:pPr>
        <w:jc w:val="center"/>
        <w:outlineLvl w:val="0"/>
        <w:rPr>
          <w:rFonts w:ascii="楷体_GB2312" w:eastAsia="楷体_GB2312"/>
          <w:b/>
          <w:sz w:val="44"/>
        </w:rPr>
      </w:pPr>
    </w:p>
    <w:p>
      <w:pPr>
        <w:rPr>
          <w:rFonts w:ascii="楷体_GB2312" w:eastAsia="楷体_GB2312"/>
          <w:b/>
          <w:sz w:val="44"/>
        </w:rPr>
      </w:pPr>
      <w:r>
        <w:rPr>
          <w:rFonts w:hint="eastAsia" w:ascii="楷体_GB2312" w:eastAsia="楷体_GB2312"/>
          <w:b/>
          <w:sz w:val="44"/>
        </w:rPr>
        <w:br w:type="page"/>
      </w:r>
    </w:p>
    <w:p>
      <w:pPr>
        <w:jc w:val="center"/>
        <w:outlineLvl w:val="0"/>
        <w:rPr>
          <w:rFonts w:ascii="楷体_GB2312" w:eastAsia="楷体_GB2312"/>
          <w:b/>
          <w:sz w:val="44"/>
        </w:rPr>
      </w:pPr>
      <w:bookmarkStart w:id="5" w:name="_Toc18962"/>
      <w:bookmarkStart w:id="6" w:name="_Toc11938056"/>
      <w:r>
        <w:rPr>
          <w:rFonts w:hint="eastAsia" w:ascii="楷体_GB2312" w:eastAsia="楷体_GB2312"/>
          <w:b/>
          <w:sz w:val="44"/>
        </w:rPr>
        <w:t>第四部分　政府采购合同</w:t>
      </w:r>
      <w:bookmarkEnd w:id="5"/>
      <w:bookmarkEnd w:id="6"/>
    </w:p>
    <w:p>
      <w:pPr>
        <w:ind w:right="1" w:firstLine="480"/>
        <w:rPr>
          <w:bCs/>
          <w:sz w:val="24"/>
          <w:szCs w:val="24"/>
        </w:rPr>
      </w:pPr>
      <w:bookmarkStart w:id="7" w:name="_Toc11938057"/>
      <w:r>
        <w:rPr>
          <w:rFonts w:hint="eastAsia"/>
          <w:bCs/>
          <w:sz w:val="24"/>
          <w:szCs w:val="24"/>
        </w:rPr>
        <w:t>委托方（甲方）：</w:t>
      </w:r>
    </w:p>
    <w:p>
      <w:pPr>
        <w:ind w:right="1" w:firstLine="480"/>
        <w:rPr>
          <w:bCs/>
          <w:sz w:val="24"/>
          <w:szCs w:val="24"/>
        </w:rPr>
      </w:pPr>
      <w:r>
        <w:rPr>
          <w:rFonts w:hint="eastAsia"/>
          <w:bCs/>
          <w:sz w:val="24"/>
          <w:szCs w:val="24"/>
        </w:rPr>
        <w:t>受托方（乙方）：</w:t>
      </w:r>
    </w:p>
    <w:p>
      <w:pPr>
        <w:ind w:right="1" w:firstLine="480"/>
        <w:rPr>
          <w:bCs/>
          <w:sz w:val="24"/>
          <w:szCs w:val="24"/>
        </w:rPr>
      </w:pPr>
      <w:r>
        <w:rPr>
          <w:rFonts w:hint="eastAsia"/>
          <w:bCs/>
          <w:sz w:val="24"/>
          <w:szCs w:val="24"/>
        </w:rPr>
        <w:t>依据《中华人民共和国合同法》及有关法律、法规的规定，甲乙双方在平等、自愿的基础上，就“唐山市科技工作者创新创业基地”（以下简称“基地”）合作运营管理服务的有关事宜达成如下协议：</w:t>
      </w:r>
    </w:p>
    <w:p>
      <w:pPr>
        <w:ind w:right="1" w:firstLine="480"/>
        <w:rPr>
          <w:b/>
          <w:sz w:val="24"/>
          <w:szCs w:val="24"/>
        </w:rPr>
      </w:pPr>
      <w:r>
        <w:rPr>
          <w:rFonts w:hint="eastAsia"/>
          <w:b/>
          <w:sz w:val="24"/>
          <w:szCs w:val="24"/>
        </w:rPr>
        <w:t>一、项目有关情况：　　</w:t>
      </w:r>
    </w:p>
    <w:p>
      <w:pPr>
        <w:ind w:right="1" w:firstLine="480"/>
        <w:rPr>
          <w:bCs/>
          <w:sz w:val="24"/>
          <w:szCs w:val="24"/>
        </w:rPr>
      </w:pPr>
      <w:r>
        <w:rPr>
          <w:rFonts w:hint="eastAsia"/>
          <w:bCs/>
          <w:sz w:val="24"/>
          <w:szCs w:val="24"/>
        </w:rPr>
        <w:t>1、甲方将其合法拥有的唐山市路南区新华西道与卫国路交叉口（卫国路14号）唐山科技馆 6 层东侧建筑面积约800平米的区域，作为“唐山市科技工作者创新创业基地”委托给乙方运营管理。</w:t>
      </w:r>
    </w:p>
    <w:p>
      <w:pPr>
        <w:ind w:right="1" w:firstLine="480"/>
        <w:rPr>
          <w:b/>
          <w:sz w:val="24"/>
          <w:szCs w:val="24"/>
        </w:rPr>
      </w:pPr>
      <w:r>
        <w:rPr>
          <w:rFonts w:hint="eastAsia"/>
          <w:b/>
          <w:sz w:val="24"/>
          <w:szCs w:val="24"/>
        </w:rPr>
        <w:t>二、合作期限：</w:t>
      </w:r>
    </w:p>
    <w:p>
      <w:pPr>
        <w:ind w:right="1" w:firstLine="480"/>
        <w:rPr>
          <w:bCs/>
          <w:sz w:val="24"/>
          <w:szCs w:val="24"/>
        </w:rPr>
      </w:pPr>
      <w:r>
        <w:rPr>
          <w:rFonts w:hint="eastAsia"/>
          <w:bCs/>
          <w:sz w:val="24"/>
          <w:szCs w:val="24"/>
        </w:rPr>
        <w:t>2、自2020年X月X日起至2023年X月X日止。</w:t>
      </w:r>
    </w:p>
    <w:p>
      <w:pPr>
        <w:ind w:right="1" w:firstLine="480"/>
        <w:rPr>
          <w:b/>
          <w:sz w:val="24"/>
          <w:szCs w:val="24"/>
        </w:rPr>
      </w:pPr>
      <w:r>
        <w:rPr>
          <w:rFonts w:hint="eastAsia"/>
          <w:b/>
          <w:sz w:val="24"/>
          <w:szCs w:val="24"/>
        </w:rPr>
        <w:t>三、入驻企业及运营目标：</w:t>
      </w:r>
    </w:p>
    <w:p>
      <w:pPr>
        <w:ind w:right="1" w:firstLine="480"/>
        <w:rPr>
          <w:bCs/>
          <w:sz w:val="24"/>
          <w:szCs w:val="24"/>
        </w:rPr>
      </w:pPr>
      <w:r>
        <w:rPr>
          <w:rFonts w:hint="eastAsia"/>
          <w:bCs/>
          <w:sz w:val="24"/>
          <w:szCs w:val="24"/>
        </w:rPr>
        <w:t>3、乙方围绕构建“4+5+4”现代产业体系，吸纳10家以上科技创新类企业入驻，高新技术企业、科协会员优先。</w:t>
      </w:r>
    </w:p>
    <w:p>
      <w:pPr>
        <w:adjustRightInd w:val="0"/>
        <w:snapToGrid w:val="0"/>
        <w:spacing w:line="360" w:lineRule="auto"/>
        <w:ind w:firstLine="480" w:firstLineChars="200"/>
        <w:rPr>
          <w:rFonts w:hint="eastAsia"/>
          <w:bCs/>
          <w:sz w:val="24"/>
          <w:szCs w:val="24"/>
        </w:rPr>
      </w:pPr>
      <w:r>
        <w:rPr>
          <w:rFonts w:hint="eastAsia"/>
          <w:bCs/>
          <w:sz w:val="24"/>
          <w:szCs w:val="24"/>
        </w:rPr>
        <w:t>4、乙方保证</w:t>
      </w:r>
      <w:r>
        <w:rPr>
          <w:rFonts w:hint="eastAsia"/>
          <w:sz w:val="24"/>
          <w:szCs w:val="24"/>
        </w:rPr>
        <w:t>第一年企业入驻率达到10家以上科技创新类企业入驻；第二年达到唐山市级创新创业基地标准；第三年达到河北省级创新创业基地标准。</w:t>
      </w:r>
    </w:p>
    <w:p>
      <w:pPr>
        <w:ind w:right="1" w:firstLine="480"/>
        <w:rPr>
          <w:b/>
          <w:sz w:val="24"/>
          <w:szCs w:val="24"/>
        </w:rPr>
      </w:pPr>
      <w:r>
        <w:rPr>
          <w:rFonts w:hint="eastAsia"/>
          <w:b/>
          <w:sz w:val="24"/>
          <w:szCs w:val="24"/>
        </w:rPr>
        <w:t>四、合作方式：</w:t>
      </w:r>
    </w:p>
    <w:p>
      <w:pPr>
        <w:ind w:right="1" w:firstLine="480"/>
        <w:rPr>
          <w:bCs/>
          <w:sz w:val="24"/>
          <w:szCs w:val="24"/>
        </w:rPr>
      </w:pPr>
      <w:r>
        <w:rPr>
          <w:rFonts w:hint="eastAsia"/>
          <w:bCs/>
          <w:sz w:val="24"/>
          <w:szCs w:val="24"/>
        </w:rPr>
        <w:t>5、甲方为乙方提供运营场地，承担基地的水、电、暖及物业管理费用。乙方负责按照创业基地办公基本要求对场地进行基础装修及设备购置，装修及设备购置费用由乙方承担。</w:t>
      </w:r>
    </w:p>
    <w:p>
      <w:pPr>
        <w:ind w:right="1" w:firstLine="480"/>
        <w:rPr>
          <w:bCs/>
          <w:sz w:val="24"/>
          <w:szCs w:val="24"/>
        </w:rPr>
      </w:pPr>
      <w:r>
        <w:rPr>
          <w:rFonts w:hint="eastAsia"/>
          <w:bCs/>
          <w:sz w:val="24"/>
          <w:szCs w:val="24"/>
        </w:rPr>
        <w:t>6、甲方不收取也不支付给乙方任何费用，乙方不可向入驻企业收取房租和物业费，但可适当收取创业服务费。基地的各项收入、补贴、奖金等资金全部归乙方，乙方自负盈亏。</w:t>
      </w:r>
    </w:p>
    <w:p>
      <w:pPr>
        <w:ind w:right="1" w:firstLine="480"/>
        <w:rPr>
          <w:bCs/>
          <w:sz w:val="24"/>
          <w:szCs w:val="24"/>
        </w:rPr>
      </w:pPr>
      <w:r>
        <w:rPr>
          <w:rFonts w:hint="eastAsia"/>
          <w:bCs/>
          <w:sz w:val="24"/>
          <w:szCs w:val="24"/>
        </w:rPr>
        <w:t>7、乙方按照市科协确定的产业方向招商及整体运营，并协助入驻企业办理公司注册、税务登记、专利申请等手续。</w:t>
      </w:r>
    </w:p>
    <w:p>
      <w:pPr>
        <w:ind w:right="1" w:firstLine="480"/>
        <w:rPr>
          <w:bCs/>
          <w:sz w:val="24"/>
          <w:szCs w:val="24"/>
        </w:rPr>
      </w:pPr>
      <w:r>
        <w:rPr>
          <w:rFonts w:hint="eastAsia"/>
          <w:bCs/>
          <w:sz w:val="24"/>
          <w:szCs w:val="24"/>
        </w:rPr>
        <w:t>8、合同期满，甲方有权收回全部场地，乙方应如期归还。乙方诚实履行本合同各项责任，圆满完成运营目标，如甲方重新招标，可适当增加乙方业绩评分权重。</w:t>
      </w:r>
    </w:p>
    <w:p>
      <w:pPr>
        <w:ind w:right="1" w:firstLine="480"/>
        <w:rPr>
          <w:rFonts w:hint="default"/>
          <w:b/>
          <w:sz w:val="24"/>
          <w:szCs w:val="24"/>
          <w:lang w:val="en-US" w:eastAsia="zh-CN"/>
        </w:rPr>
      </w:pPr>
      <w:r>
        <w:rPr>
          <w:rFonts w:hint="eastAsia"/>
          <w:b/>
          <w:sz w:val="24"/>
          <w:szCs w:val="24"/>
          <w:lang w:val="en-US" w:eastAsia="zh-CN"/>
        </w:rPr>
        <w:t>五、履约保证金</w:t>
      </w:r>
    </w:p>
    <w:p>
      <w:pPr>
        <w:ind w:right="1" w:firstLine="480"/>
        <w:rPr>
          <w:rFonts w:hint="eastAsia"/>
          <w:bCs/>
          <w:sz w:val="24"/>
          <w:szCs w:val="24"/>
        </w:rPr>
      </w:pPr>
      <w:r>
        <w:rPr>
          <w:rFonts w:hint="eastAsia"/>
          <w:bCs/>
          <w:sz w:val="24"/>
          <w:szCs w:val="24"/>
          <w:lang w:val="en-US" w:eastAsia="zh-CN"/>
        </w:rPr>
        <w:t>9、</w:t>
      </w:r>
      <w:r>
        <w:rPr>
          <w:rFonts w:hint="default"/>
          <w:bCs/>
          <w:sz w:val="24"/>
          <w:szCs w:val="24"/>
          <w:lang w:val="en-US" w:eastAsia="zh-CN"/>
        </w:rPr>
        <w:t>乙方应在收到中标通知书后的10日内，向甲方</w:t>
      </w:r>
      <w:r>
        <w:rPr>
          <w:rFonts w:hint="eastAsia"/>
          <w:bCs/>
          <w:sz w:val="24"/>
          <w:szCs w:val="24"/>
          <w:lang w:val="en-US" w:eastAsia="zh-CN"/>
        </w:rPr>
        <w:t>提交20万元的</w:t>
      </w:r>
      <w:r>
        <w:rPr>
          <w:rFonts w:hint="default"/>
          <w:bCs/>
          <w:sz w:val="24"/>
          <w:szCs w:val="24"/>
          <w:lang w:val="en-US" w:eastAsia="zh-CN"/>
        </w:rPr>
        <w:t>履约保证金，</w:t>
      </w:r>
      <w:r>
        <w:rPr>
          <w:rFonts w:hint="eastAsia"/>
          <w:bCs/>
          <w:sz w:val="24"/>
          <w:szCs w:val="24"/>
          <w:lang w:val="en-US" w:eastAsia="zh-CN"/>
        </w:rPr>
        <w:t>履约</w:t>
      </w:r>
      <w:r>
        <w:rPr>
          <w:rFonts w:hint="eastAsia"/>
          <w:bCs/>
          <w:sz w:val="24"/>
          <w:szCs w:val="24"/>
        </w:rPr>
        <w:t>保证金采用</w:t>
      </w:r>
      <w:r>
        <w:rPr>
          <w:rFonts w:hint="eastAsia"/>
          <w:bCs/>
          <w:sz w:val="24"/>
          <w:szCs w:val="24"/>
          <w:lang w:eastAsia="zh-CN"/>
        </w:rPr>
        <w:t>银行转账或</w:t>
      </w:r>
      <w:r>
        <w:rPr>
          <w:rFonts w:hint="eastAsia"/>
          <w:bCs/>
          <w:sz w:val="24"/>
          <w:szCs w:val="24"/>
        </w:rPr>
        <w:t>担保机构出具的保函方式</w:t>
      </w:r>
      <w:r>
        <w:rPr>
          <w:rFonts w:hint="eastAsia"/>
          <w:bCs/>
          <w:sz w:val="24"/>
          <w:szCs w:val="24"/>
          <w:lang w:eastAsia="zh-CN"/>
        </w:rPr>
        <w:t>，</w:t>
      </w:r>
      <w:r>
        <w:rPr>
          <w:rFonts w:hint="default"/>
          <w:bCs/>
          <w:sz w:val="24"/>
          <w:szCs w:val="24"/>
          <w:lang w:val="en-US" w:eastAsia="zh-CN"/>
        </w:rPr>
        <w:t>履约保证金有效期至合同期结束为止。</w:t>
      </w:r>
    </w:p>
    <w:p>
      <w:pPr>
        <w:ind w:right="1" w:firstLine="480"/>
        <w:rPr>
          <w:b/>
          <w:sz w:val="24"/>
          <w:szCs w:val="24"/>
        </w:rPr>
      </w:pPr>
      <w:r>
        <w:rPr>
          <w:rFonts w:hint="eastAsia"/>
          <w:b/>
          <w:sz w:val="24"/>
          <w:szCs w:val="24"/>
          <w:lang w:val="en-US" w:eastAsia="zh-CN"/>
        </w:rPr>
        <w:t>六</w:t>
      </w:r>
      <w:r>
        <w:rPr>
          <w:rFonts w:hint="eastAsia"/>
          <w:b/>
          <w:sz w:val="24"/>
          <w:szCs w:val="24"/>
        </w:rPr>
        <w:t>、双方的责任和义务</w:t>
      </w:r>
    </w:p>
    <w:p>
      <w:pPr>
        <w:ind w:right="1" w:firstLine="480"/>
        <w:rPr>
          <w:bCs/>
          <w:sz w:val="24"/>
          <w:szCs w:val="24"/>
        </w:rPr>
      </w:pPr>
      <w:r>
        <w:rPr>
          <w:rFonts w:hint="eastAsia"/>
          <w:bCs/>
          <w:sz w:val="24"/>
          <w:szCs w:val="24"/>
          <w:lang w:val="en-US" w:eastAsia="zh-CN"/>
        </w:rPr>
        <w:t>10</w:t>
      </w:r>
      <w:r>
        <w:rPr>
          <w:rFonts w:hint="eastAsia"/>
          <w:bCs/>
          <w:sz w:val="24"/>
          <w:szCs w:val="24"/>
        </w:rPr>
        <w:t>、在使用期限内，甲方保证房屋的使用安全，履行对房屋主体结构的维修、保养义务；甲方对该房屋履行维修、保养义务时，应提前7天书面通知乙方；乙方应积极配合和协助。</w:t>
      </w:r>
    </w:p>
    <w:p>
      <w:pPr>
        <w:ind w:right="1" w:firstLine="48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、对乙方组织的合法、合规活动，甲方在条件允许的情况下应给予尽可能的支持、协助。</w:t>
      </w:r>
    </w:p>
    <w:p>
      <w:pPr>
        <w:ind w:right="1" w:firstLine="480"/>
        <w:rPr>
          <w:rFonts w:hint="eastAsia"/>
          <w:bCs/>
          <w:sz w:val="24"/>
          <w:szCs w:val="24"/>
        </w:rPr>
      </w:pPr>
      <w:r>
        <w:rPr>
          <w:rFonts w:hint="eastAsia"/>
          <w:bCs/>
          <w:sz w:val="24"/>
          <w:szCs w:val="24"/>
        </w:rPr>
        <w:t>1</w:t>
      </w:r>
      <w:r>
        <w:rPr>
          <w:rFonts w:hint="eastAsia"/>
          <w:bCs/>
          <w:sz w:val="24"/>
          <w:szCs w:val="24"/>
          <w:lang w:val="en-US" w:eastAsia="zh-CN"/>
        </w:rPr>
        <w:t>2</w:t>
      </w:r>
      <w:r>
        <w:rPr>
          <w:rFonts w:hint="eastAsia"/>
          <w:bCs/>
          <w:sz w:val="24"/>
          <w:szCs w:val="24"/>
        </w:rPr>
        <w:t>、甲方应保障乙方运营范围内的水、电、暖的正常、合理使用，卫生干净整洁，并负责进行维修和保养。乙方应爱护并合理使用该房屋及其附属设施，如因乙方不正常使用或相关人员过错造成设施设备损坏，乙方应负责维修或承担相应的维修费用和责任</w:t>
      </w:r>
      <w:r>
        <w:rPr>
          <w:rFonts w:hint="eastAsia"/>
          <w:bCs/>
          <w:sz w:val="24"/>
          <w:szCs w:val="24"/>
          <w:lang w:eastAsia="zh-CN"/>
        </w:rPr>
        <w:t>，</w:t>
      </w:r>
      <w:r>
        <w:rPr>
          <w:rFonts w:hint="eastAsia"/>
          <w:bCs/>
          <w:sz w:val="24"/>
          <w:szCs w:val="24"/>
          <w:lang w:val="en-US" w:eastAsia="zh-CN"/>
        </w:rPr>
        <w:t>如乙方不承担相应的费用，甲方可在履约保证金中扣除相应的费用</w:t>
      </w:r>
      <w:r>
        <w:rPr>
          <w:rFonts w:hint="eastAsia"/>
          <w:bCs/>
          <w:sz w:val="24"/>
          <w:szCs w:val="24"/>
        </w:rPr>
        <w:t>。</w:t>
      </w:r>
    </w:p>
    <w:p>
      <w:pPr>
        <w:ind w:right="1" w:firstLine="480"/>
        <w:rPr>
          <w:bCs/>
          <w:sz w:val="24"/>
          <w:szCs w:val="24"/>
        </w:rPr>
      </w:pPr>
      <w:r>
        <w:rPr>
          <w:rFonts w:hint="eastAsia"/>
          <w:bCs/>
          <w:sz w:val="24"/>
          <w:szCs w:val="24"/>
        </w:rPr>
        <w:t>1</w:t>
      </w:r>
      <w:r>
        <w:rPr>
          <w:rFonts w:hint="eastAsia"/>
          <w:bCs/>
          <w:sz w:val="24"/>
          <w:szCs w:val="24"/>
          <w:lang w:val="en-US" w:eastAsia="zh-CN"/>
        </w:rPr>
        <w:t>3</w:t>
      </w:r>
      <w:r>
        <w:rPr>
          <w:rFonts w:hint="eastAsia"/>
          <w:bCs/>
          <w:sz w:val="24"/>
          <w:szCs w:val="24"/>
        </w:rPr>
        <w:t>、乙方不得在场所内发布、传播或者以其他方式使用含有下列内容的信息:反对宪法；危害国家利益；破坏民族团结；破坏国家宗教政策；扰乱社会秩序和稳定；宣传淫秽、赌博、暴力或者教唆犯罪；侵害他人合法权益；危害社会公德或者民族优秀文化传统。</w:t>
      </w:r>
    </w:p>
    <w:p>
      <w:pPr>
        <w:ind w:right="1" w:firstLine="480"/>
        <w:rPr>
          <w:bCs/>
          <w:sz w:val="24"/>
          <w:szCs w:val="24"/>
        </w:rPr>
      </w:pPr>
      <w:r>
        <w:rPr>
          <w:rFonts w:hint="eastAsia"/>
          <w:bCs/>
          <w:sz w:val="24"/>
          <w:szCs w:val="24"/>
        </w:rPr>
        <w:t>1</w:t>
      </w:r>
      <w:r>
        <w:rPr>
          <w:rFonts w:hint="eastAsia"/>
          <w:bCs/>
          <w:sz w:val="24"/>
          <w:szCs w:val="24"/>
          <w:lang w:val="en-US" w:eastAsia="zh-CN"/>
        </w:rPr>
        <w:t>4</w:t>
      </w:r>
      <w:r>
        <w:rPr>
          <w:rFonts w:hint="eastAsia"/>
          <w:bCs/>
          <w:sz w:val="24"/>
          <w:szCs w:val="24"/>
        </w:rPr>
        <w:t>、乙方应确保基地正常、合法合规运营，如因乙方原因造成的停业、查封、有关部门处理等给甲方形成的经济及名誉损失，甲方有权解除合同，并追究乙方相关赔偿和损失。</w:t>
      </w:r>
    </w:p>
    <w:p>
      <w:pPr>
        <w:ind w:right="1" w:firstLine="480"/>
        <w:rPr>
          <w:rFonts w:hint="eastAsia"/>
          <w:bCs/>
          <w:sz w:val="24"/>
          <w:szCs w:val="24"/>
        </w:rPr>
      </w:pPr>
      <w:r>
        <w:rPr>
          <w:rFonts w:hint="eastAsia"/>
          <w:bCs/>
          <w:sz w:val="24"/>
          <w:szCs w:val="24"/>
        </w:rPr>
        <w:t>1</w:t>
      </w:r>
      <w:r>
        <w:rPr>
          <w:rFonts w:hint="eastAsia"/>
          <w:bCs/>
          <w:sz w:val="24"/>
          <w:szCs w:val="24"/>
          <w:lang w:val="en-US" w:eastAsia="zh-CN"/>
        </w:rPr>
        <w:t>5</w:t>
      </w:r>
      <w:r>
        <w:rPr>
          <w:rFonts w:hint="eastAsia"/>
          <w:bCs/>
          <w:sz w:val="24"/>
          <w:szCs w:val="24"/>
        </w:rPr>
        <w:t>、因乙方原因造成的合同提前中止，乙方实施的附属在建筑物上的装修装饰等固定设施不得拆除。</w:t>
      </w:r>
    </w:p>
    <w:p>
      <w:pPr>
        <w:ind w:right="1" w:firstLine="480"/>
        <w:rPr>
          <w:rFonts w:hint="eastAsia"/>
          <w:b/>
          <w:sz w:val="24"/>
          <w:szCs w:val="24"/>
        </w:rPr>
      </w:pPr>
      <w:r>
        <w:rPr>
          <w:rFonts w:hint="eastAsia"/>
          <w:b/>
          <w:sz w:val="24"/>
          <w:szCs w:val="24"/>
          <w:lang w:val="en-US" w:eastAsia="zh-CN"/>
        </w:rPr>
        <w:t>七、</w:t>
      </w:r>
      <w:r>
        <w:rPr>
          <w:rFonts w:hint="eastAsia"/>
          <w:b/>
          <w:sz w:val="24"/>
          <w:szCs w:val="24"/>
        </w:rPr>
        <w:t>考核要求：</w:t>
      </w:r>
    </w:p>
    <w:p>
      <w:pPr>
        <w:ind w:right="1" w:firstLine="480"/>
        <w:rPr>
          <w:rFonts w:hint="eastAsia"/>
          <w:bCs/>
          <w:sz w:val="24"/>
          <w:szCs w:val="24"/>
        </w:rPr>
      </w:pPr>
      <w:r>
        <w:rPr>
          <w:rFonts w:hint="eastAsia"/>
          <w:bCs/>
          <w:sz w:val="24"/>
          <w:szCs w:val="24"/>
          <w:lang w:val="en-US" w:eastAsia="zh-CN"/>
        </w:rPr>
        <w:t>甲方从</w:t>
      </w:r>
      <w:r>
        <w:rPr>
          <w:rFonts w:hint="eastAsia"/>
          <w:bCs/>
          <w:sz w:val="24"/>
          <w:szCs w:val="24"/>
        </w:rPr>
        <w:t>基础服务能力</w:t>
      </w:r>
      <w:r>
        <w:rPr>
          <w:rFonts w:hint="eastAsia"/>
          <w:bCs/>
          <w:sz w:val="24"/>
          <w:szCs w:val="24"/>
          <w:lang w:eastAsia="zh-CN"/>
        </w:rPr>
        <w:t>、</w:t>
      </w:r>
      <w:r>
        <w:rPr>
          <w:rFonts w:hint="eastAsia"/>
          <w:bCs/>
          <w:sz w:val="24"/>
          <w:szCs w:val="24"/>
        </w:rPr>
        <w:t>创业服务能力</w:t>
      </w:r>
      <w:r>
        <w:rPr>
          <w:rFonts w:hint="eastAsia"/>
          <w:bCs/>
          <w:sz w:val="24"/>
          <w:szCs w:val="24"/>
          <w:lang w:eastAsia="zh-CN"/>
        </w:rPr>
        <w:t>、</w:t>
      </w:r>
      <w:r>
        <w:rPr>
          <w:rFonts w:hint="eastAsia"/>
          <w:bCs/>
          <w:sz w:val="24"/>
          <w:szCs w:val="24"/>
        </w:rPr>
        <w:t>创业服务成效</w:t>
      </w:r>
      <w:r>
        <w:rPr>
          <w:rFonts w:hint="eastAsia"/>
          <w:bCs/>
          <w:sz w:val="24"/>
          <w:szCs w:val="24"/>
          <w:lang w:eastAsia="zh-CN"/>
        </w:rPr>
        <w:t>、</w:t>
      </w:r>
      <w:r>
        <w:rPr>
          <w:rFonts w:hint="eastAsia"/>
          <w:bCs/>
          <w:sz w:val="24"/>
          <w:szCs w:val="24"/>
        </w:rPr>
        <w:t>公共服务成效</w:t>
      </w:r>
      <w:r>
        <w:rPr>
          <w:rFonts w:hint="eastAsia"/>
          <w:bCs/>
          <w:sz w:val="24"/>
          <w:szCs w:val="24"/>
          <w:lang w:val="en-US" w:eastAsia="zh-CN"/>
        </w:rPr>
        <w:t>等方面对乙方进行考核，年度考核不合格将终止合同。</w:t>
      </w:r>
    </w:p>
    <w:p>
      <w:pPr>
        <w:ind w:right="1" w:firstLine="480"/>
        <w:rPr>
          <w:rFonts w:hint="eastAsia"/>
          <w:bCs/>
          <w:sz w:val="24"/>
          <w:szCs w:val="24"/>
        </w:rPr>
      </w:pPr>
      <w:r>
        <w:rPr>
          <w:rFonts w:hint="eastAsia"/>
          <w:bCs/>
          <w:sz w:val="24"/>
          <w:szCs w:val="24"/>
        </w:rPr>
        <w:t>1．基础服务能力情况。主要包括运营管理团队，创业场地建设等情况。</w:t>
      </w:r>
    </w:p>
    <w:p>
      <w:pPr>
        <w:ind w:right="1" w:firstLine="480"/>
        <w:rPr>
          <w:rFonts w:hint="eastAsia"/>
          <w:bCs/>
          <w:sz w:val="24"/>
          <w:szCs w:val="24"/>
        </w:rPr>
      </w:pPr>
      <w:r>
        <w:rPr>
          <w:rFonts w:hint="eastAsia"/>
          <w:bCs/>
          <w:sz w:val="24"/>
          <w:szCs w:val="24"/>
        </w:rPr>
        <w:t>2．创业服务能力情况。主要包括创新创业活动、创业导师和媒体宣传等情况。</w:t>
      </w:r>
    </w:p>
    <w:p>
      <w:pPr>
        <w:ind w:right="1" w:firstLine="480"/>
        <w:rPr>
          <w:rFonts w:hint="eastAsia"/>
          <w:bCs/>
          <w:sz w:val="24"/>
          <w:szCs w:val="24"/>
        </w:rPr>
      </w:pPr>
      <w:r>
        <w:rPr>
          <w:rFonts w:hint="eastAsia"/>
          <w:bCs/>
          <w:sz w:val="24"/>
          <w:szCs w:val="24"/>
        </w:rPr>
        <w:t>3．创业服务成效情况。主要包括年度创业企业数、年度获得国家高新技术企业数、创业企业当年技术合同登记备案、当年新增创业企业数、 在孵企业参加中国创新创业大赛或路演活动等情况。</w:t>
      </w:r>
    </w:p>
    <w:p>
      <w:pPr>
        <w:ind w:right="1" w:firstLine="480"/>
        <w:rPr>
          <w:rFonts w:hint="eastAsia"/>
          <w:bCs/>
          <w:sz w:val="24"/>
          <w:szCs w:val="24"/>
        </w:rPr>
      </w:pPr>
      <w:r>
        <w:rPr>
          <w:rFonts w:hint="eastAsia"/>
          <w:bCs/>
          <w:sz w:val="24"/>
          <w:szCs w:val="24"/>
        </w:rPr>
        <w:t>4．公共服务成效情况。主要包括安全办公、配合</w:t>
      </w:r>
      <w:r>
        <w:rPr>
          <w:rFonts w:hint="eastAsia"/>
          <w:bCs/>
          <w:sz w:val="24"/>
          <w:szCs w:val="24"/>
          <w:lang w:val="en-US" w:eastAsia="zh-CN"/>
        </w:rPr>
        <w:t>相关</w:t>
      </w:r>
      <w:r>
        <w:rPr>
          <w:rFonts w:hint="eastAsia"/>
          <w:bCs/>
          <w:sz w:val="24"/>
          <w:szCs w:val="24"/>
        </w:rPr>
        <w:t>部门推动双创工作和统计工作等情况。</w:t>
      </w:r>
    </w:p>
    <w:p>
      <w:pPr>
        <w:ind w:right="1" w:firstLine="480"/>
        <w:rPr>
          <w:rFonts w:hint="eastAsia"/>
          <w:bCs/>
          <w:sz w:val="24"/>
          <w:szCs w:val="24"/>
        </w:rPr>
      </w:pPr>
      <w:r>
        <w:rPr>
          <w:rFonts w:hint="eastAsia"/>
          <w:bCs/>
          <w:sz w:val="24"/>
          <w:szCs w:val="24"/>
        </w:rPr>
        <w:t>5．加分项。主要包括获得省、市级奖项，举办国际化大型活动情况。</w:t>
      </w:r>
    </w:p>
    <w:p>
      <w:pPr>
        <w:ind w:right="1" w:firstLine="480"/>
        <w:rPr>
          <w:rFonts w:hint="eastAsia"/>
          <w:bCs/>
          <w:sz w:val="24"/>
          <w:szCs w:val="24"/>
        </w:rPr>
      </w:pPr>
      <w:r>
        <w:rPr>
          <w:rFonts w:hint="eastAsia"/>
          <w:bCs/>
          <w:sz w:val="24"/>
          <w:szCs w:val="24"/>
          <w:lang w:val="en-US" w:eastAsia="zh-CN"/>
        </w:rPr>
        <w:t>6.</w:t>
      </w:r>
      <w:r>
        <w:rPr>
          <w:rFonts w:hint="eastAsia"/>
          <w:bCs/>
          <w:sz w:val="24"/>
          <w:szCs w:val="24"/>
        </w:rPr>
        <w:t>运营</w:t>
      </w:r>
      <w:r>
        <w:rPr>
          <w:rFonts w:hint="eastAsia"/>
          <w:bCs/>
          <w:sz w:val="24"/>
          <w:szCs w:val="24"/>
          <w:lang w:val="en-US" w:eastAsia="zh-CN"/>
        </w:rPr>
        <w:t>单位</w:t>
      </w:r>
      <w:r>
        <w:rPr>
          <w:rFonts w:hint="eastAsia"/>
          <w:bCs/>
          <w:sz w:val="24"/>
          <w:szCs w:val="24"/>
        </w:rPr>
        <w:t>有下列情形之一的，确定为</w:t>
      </w:r>
      <w:r>
        <w:rPr>
          <w:rFonts w:hint="eastAsia"/>
          <w:bCs/>
          <w:sz w:val="24"/>
          <w:szCs w:val="24"/>
          <w:lang w:val="en-US" w:eastAsia="zh-CN"/>
        </w:rPr>
        <w:t>考核</w:t>
      </w:r>
      <w:r>
        <w:rPr>
          <w:rFonts w:hint="eastAsia"/>
          <w:bCs/>
          <w:sz w:val="24"/>
          <w:szCs w:val="24"/>
        </w:rPr>
        <w:t>不合格：</w:t>
      </w:r>
    </w:p>
    <w:p>
      <w:pPr>
        <w:ind w:right="1" w:firstLine="480"/>
        <w:rPr>
          <w:rFonts w:hint="eastAsia"/>
          <w:bCs/>
          <w:sz w:val="24"/>
          <w:szCs w:val="24"/>
        </w:rPr>
      </w:pPr>
      <w:r>
        <w:rPr>
          <w:rFonts w:hint="eastAsia"/>
          <w:bCs/>
          <w:sz w:val="24"/>
          <w:szCs w:val="24"/>
        </w:rPr>
        <w:t>（1）有严重违法违纪行为发生；</w:t>
      </w:r>
    </w:p>
    <w:p>
      <w:pPr>
        <w:ind w:right="1" w:firstLine="480"/>
        <w:rPr>
          <w:rFonts w:hint="eastAsia"/>
          <w:bCs/>
          <w:sz w:val="24"/>
          <w:szCs w:val="24"/>
        </w:rPr>
      </w:pPr>
      <w:r>
        <w:rPr>
          <w:rFonts w:hint="eastAsia"/>
          <w:bCs/>
          <w:sz w:val="24"/>
          <w:szCs w:val="24"/>
        </w:rPr>
        <w:t>（2）因管理不善、措施不当造成重大安全事故；</w:t>
      </w:r>
    </w:p>
    <w:p>
      <w:pPr>
        <w:ind w:right="1" w:firstLine="480"/>
        <w:rPr>
          <w:rFonts w:hint="eastAsia"/>
          <w:bCs/>
          <w:sz w:val="24"/>
          <w:szCs w:val="24"/>
        </w:rPr>
      </w:pPr>
      <w:r>
        <w:rPr>
          <w:rFonts w:hint="eastAsia"/>
          <w:bCs/>
          <w:sz w:val="24"/>
          <w:szCs w:val="24"/>
        </w:rPr>
        <w:t>（3）宣传邪教、封建迷信以及反科学、伪科学活动；</w:t>
      </w:r>
    </w:p>
    <w:p>
      <w:pPr>
        <w:ind w:right="1" w:firstLine="480"/>
        <w:rPr>
          <w:rFonts w:hint="eastAsia"/>
          <w:bCs/>
          <w:sz w:val="24"/>
          <w:szCs w:val="24"/>
        </w:rPr>
      </w:pPr>
      <w:r>
        <w:rPr>
          <w:rFonts w:hint="eastAsia"/>
          <w:bCs/>
          <w:sz w:val="24"/>
          <w:szCs w:val="24"/>
        </w:rPr>
        <w:t>（4）未按</w:t>
      </w:r>
      <w:r>
        <w:rPr>
          <w:rFonts w:hint="eastAsia"/>
          <w:bCs/>
          <w:sz w:val="24"/>
          <w:szCs w:val="24"/>
          <w:lang w:val="en-US" w:eastAsia="zh-CN"/>
        </w:rPr>
        <w:t>考核</w:t>
      </w:r>
      <w:r>
        <w:rPr>
          <w:rFonts w:hint="eastAsia"/>
          <w:bCs/>
          <w:sz w:val="24"/>
          <w:szCs w:val="24"/>
        </w:rPr>
        <w:t>办法提供真实准确相关材料或提供虚假材料。</w:t>
      </w:r>
    </w:p>
    <w:p>
      <w:pPr>
        <w:ind w:right="1" w:firstLine="480"/>
        <w:rPr>
          <w:rFonts w:hint="default"/>
          <w:bCs/>
          <w:sz w:val="24"/>
          <w:szCs w:val="24"/>
          <w:lang w:val="en-US" w:eastAsia="zh-CN"/>
        </w:rPr>
      </w:pPr>
      <w:r>
        <w:rPr>
          <w:rFonts w:hint="eastAsia"/>
          <w:bCs/>
          <w:sz w:val="24"/>
          <w:szCs w:val="24"/>
        </w:rPr>
        <w:t>（</w:t>
      </w:r>
      <w:r>
        <w:rPr>
          <w:rFonts w:hint="eastAsia"/>
          <w:bCs/>
          <w:sz w:val="24"/>
          <w:szCs w:val="24"/>
          <w:lang w:val="en-US" w:eastAsia="zh-CN"/>
        </w:rPr>
        <w:t>5</w:t>
      </w:r>
      <w:r>
        <w:rPr>
          <w:rFonts w:hint="eastAsia"/>
          <w:bCs/>
          <w:sz w:val="24"/>
          <w:szCs w:val="24"/>
        </w:rPr>
        <w:t>）</w:t>
      </w:r>
      <w:r>
        <w:rPr>
          <w:rFonts w:hint="eastAsia"/>
          <w:bCs/>
          <w:sz w:val="24"/>
          <w:szCs w:val="24"/>
          <w:lang w:val="en-US" w:eastAsia="zh-CN"/>
        </w:rPr>
        <w:t>年度</w:t>
      </w:r>
      <w:r>
        <w:rPr>
          <w:rFonts w:hint="eastAsia"/>
          <w:bCs/>
          <w:sz w:val="24"/>
          <w:szCs w:val="24"/>
        </w:rPr>
        <w:t>考核</w:t>
      </w:r>
      <w:r>
        <w:rPr>
          <w:rFonts w:hint="eastAsia"/>
          <w:bCs/>
          <w:sz w:val="24"/>
          <w:szCs w:val="24"/>
          <w:lang w:val="en-US" w:eastAsia="zh-CN"/>
        </w:rPr>
        <w:t>60</w:t>
      </w:r>
      <w:r>
        <w:rPr>
          <w:rFonts w:hint="eastAsia"/>
          <w:bCs/>
          <w:sz w:val="24"/>
          <w:szCs w:val="24"/>
        </w:rPr>
        <w:t>分以</w:t>
      </w:r>
      <w:r>
        <w:rPr>
          <w:rFonts w:hint="eastAsia"/>
          <w:bCs/>
          <w:sz w:val="24"/>
          <w:szCs w:val="24"/>
          <w:lang w:val="en-US" w:eastAsia="zh-CN"/>
        </w:rPr>
        <w:t>下</w:t>
      </w:r>
      <w:r>
        <w:rPr>
          <w:rFonts w:hint="eastAsia"/>
          <w:bCs/>
          <w:sz w:val="24"/>
          <w:szCs w:val="24"/>
        </w:rPr>
        <w:t>。</w:t>
      </w:r>
    </w:p>
    <w:tbl>
      <w:tblPr>
        <w:tblStyle w:val="20"/>
        <w:tblW w:w="5194" w:type="pct"/>
        <w:tblInd w:w="-26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80"/>
        <w:gridCol w:w="1831"/>
        <w:gridCol w:w="564"/>
        <w:gridCol w:w="65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唐山市科技工作者创新创业基地</w:t>
            </w:r>
            <w:r>
              <w:rPr>
                <w:rFonts w:asciiTheme="minorEastAsia" w:hAnsiTheme="minorEastAsia" w:eastAsiaTheme="minorEastAsia"/>
                <w:color w:val="auto"/>
                <w:sz w:val="24"/>
                <w:szCs w:val="24"/>
              </w:rPr>
              <w:t>考核指标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分类</w:t>
            </w:r>
          </w:p>
        </w:tc>
        <w:tc>
          <w:tcPr>
            <w:tcW w:w="923"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考核</w:t>
            </w:r>
            <w:r>
              <w:rPr>
                <w:rFonts w:asciiTheme="minorEastAsia" w:hAnsiTheme="minorEastAsia" w:eastAsiaTheme="minorEastAsia"/>
                <w:color w:val="auto"/>
                <w:sz w:val="24"/>
                <w:szCs w:val="24"/>
              </w:rPr>
              <w:t>内容</w:t>
            </w:r>
          </w:p>
        </w:tc>
        <w:tc>
          <w:tcPr>
            <w:tcW w:w="284"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分值</w:t>
            </w:r>
          </w:p>
        </w:tc>
        <w:tc>
          <w:tcPr>
            <w:tcW w:w="3297"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考 核</w:t>
            </w:r>
            <w:r>
              <w:rPr>
                <w:rFonts w:asciiTheme="minorEastAsia" w:hAnsiTheme="minorEastAsia" w:eastAsiaTheme="minorEastAsia"/>
                <w:color w:val="auto"/>
                <w:sz w:val="24"/>
                <w:szCs w:val="24"/>
              </w:rPr>
              <w:t xml:space="preserve"> 标 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vMerge w:val="restar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基础服务能力（1</w:t>
            </w:r>
            <w:r>
              <w:rPr>
                <w:rFonts w:hint="eastAsia" w:asciiTheme="minorEastAsia" w:hAnsiTheme="minorEastAsia" w:eastAsiaTheme="minorEastAsia"/>
                <w:color w:val="auto"/>
                <w:sz w:val="24"/>
                <w:szCs w:val="24"/>
                <w:lang w:val="en-US" w:eastAsia="zh-CN"/>
              </w:rPr>
              <w:t>5</w:t>
            </w:r>
            <w:r>
              <w:rPr>
                <w:rFonts w:asciiTheme="minorEastAsia" w:hAnsiTheme="minorEastAsia" w:eastAsiaTheme="minorEastAsia"/>
                <w:color w:val="auto"/>
                <w:sz w:val="24"/>
                <w:szCs w:val="24"/>
              </w:rPr>
              <w:t>分）</w:t>
            </w:r>
          </w:p>
        </w:tc>
        <w:tc>
          <w:tcPr>
            <w:tcW w:w="92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color w:val="auto"/>
                <w:sz w:val="24"/>
                <w:szCs w:val="24"/>
              </w:rPr>
              <w:t>运营管理团队</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w:t>
            </w:r>
          </w:p>
        </w:tc>
        <w:tc>
          <w:tcPr>
            <w:tcW w:w="3297"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①机构设置合理且管理人员中具有本科以上学历的占50%以上（</w:t>
            </w: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分）；②接受孵化器专业培训的人员比例达30%以上（</w:t>
            </w: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3" w:hRule="atLeast"/>
        </w:trPr>
        <w:tc>
          <w:tcPr>
            <w:tcW w:w="494"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color w:val="auto"/>
                <w:sz w:val="24"/>
                <w:szCs w:val="24"/>
              </w:rPr>
              <w:t>创业</w:t>
            </w:r>
            <w:r>
              <w:rPr>
                <w:color w:val="auto"/>
                <w:sz w:val="24"/>
                <w:szCs w:val="24"/>
              </w:rPr>
              <w:t>场地建设</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7</w:t>
            </w:r>
          </w:p>
        </w:tc>
        <w:tc>
          <w:tcPr>
            <w:tcW w:w="3297" w:type="pct"/>
            <w:tcBorders>
              <w:top w:val="outset" w:color="auto" w:sz="6" w:space="0"/>
              <w:left w:val="outset" w:color="auto" w:sz="6" w:space="0"/>
              <w:bottom w:val="outset" w:color="auto" w:sz="6" w:space="0"/>
              <w:right w:val="outset" w:color="auto" w:sz="6" w:space="0"/>
            </w:tcBorders>
            <w:vAlign w:val="center"/>
          </w:tcPr>
          <w:p>
            <w:pPr>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t>①建有展厅得</w:t>
            </w:r>
            <w:r>
              <w:rPr>
                <w:rFonts w:hint="eastAsia" w:asciiTheme="minorEastAsia" w:hAnsiTheme="minorEastAsia" w:eastAsiaTheme="minorEastAsia"/>
                <w:color w:val="auto"/>
                <w:sz w:val="24"/>
                <w:szCs w:val="24"/>
                <w:lang w:val="en-US" w:eastAsia="zh-CN"/>
              </w:rPr>
              <w:t>3</w:t>
            </w:r>
            <w:r>
              <w:rPr>
                <w:rFonts w:asciiTheme="minorEastAsia" w:hAnsiTheme="minorEastAsia" w:eastAsiaTheme="minorEastAsia"/>
                <w:color w:val="auto"/>
                <w:sz w:val="24"/>
                <w:szCs w:val="24"/>
              </w:rPr>
              <w:t>分；②建有项目路演大厅得</w:t>
            </w:r>
            <w:r>
              <w:rPr>
                <w:rFonts w:hint="eastAsia" w:asciiTheme="minorEastAsia" w:hAnsiTheme="minorEastAsia" w:eastAsiaTheme="minorEastAsia"/>
                <w:color w:val="auto"/>
                <w:sz w:val="24"/>
                <w:szCs w:val="24"/>
                <w:lang w:val="en-US" w:eastAsia="zh-CN"/>
              </w:rPr>
              <w:t>4</w:t>
            </w:r>
            <w:r>
              <w:rPr>
                <w:rFonts w:asciiTheme="minorEastAsia" w:hAnsiTheme="minorEastAsia" w:eastAsiaTheme="minorEastAsia"/>
                <w:color w:val="auto"/>
                <w:sz w:val="24"/>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vMerge w:val="restar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创业</w:t>
            </w:r>
            <w:r>
              <w:rPr>
                <w:rFonts w:asciiTheme="minorEastAsia" w:hAnsiTheme="minorEastAsia" w:eastAsiaTheme="minorEastAsia"/>
                <w:color w:val="auto"/>
                <w:sz w:val="24"/>
                <w:szCs w:val="24"/>
              </w:rPr>
              <w:t>服务能力（</w:t>
            </w:r>
            <w:r>
              <w:rPr>
                <w:rFonts w:hint="eastAsia" w:asciiTheme="minorEastAsia" w:hAnsiTheme="minorEastAsia" w:eastAsiaTheme="minorEastAsia"/>
                <w:color w:val="auto"/>
                <w:sz w:val="24"/>
                <w:szCs w:val="24"/>
                <w:lang w:val="en-US" w:eastAsia="zh-CN"/>
              </w:rPr>
              <w:t>30</w:t>
            </w:r>
            <w:r>
              <w:rPr>
                <w:rFonts w:asciiTheme="minorEastAsia" w:hAnsiTheme="minorEastAsia" w:eastAsiaTheme="minorEastAsia"/>
                <w:color w:val="auto"/>
                <w:sz w:val="24"/>
                <w:szCs w:val="24"/>
              </w:rPr>
              <w:t>分）</w:t>
            </w:r>
          </w:p>
        </w:tc>
        <w:tc>
          <w:tcPr>
            <w:tcW w:w="92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3、</w:t>
            </w:r>
            <w:r>
              <w:rPr>
                <w:rFonts w:asciiTheme="minorEastAsia" w:hAnsiTheme="minorEastAsia" w:eastAsiaTheme="minorEastAsia"/>
                <w:color w:val="auto"/>
                <w:sz w:val="24"/>
                <w:szCs w:val="24"/>
              </w:rPr>
              <w:t>创新创业活动</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lang w:val="en-US" w:eastAsia="zh-CN"/>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0</w:t>
            </w:r>
          </w:p>
        </w:tc>
        <w:tc>
          <w:tcPr>
            <w:tcW w:w="3297"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①每举办1场“</w:t>
            </w:r>
            <w:r>
              <w:rPr>
                <w:rFonts w:hint="eastAsia" w:asciiTheme="minorEastAsia" w:hAnsiTheme="minorEastAsia" w:eastAsiaTheme="minorEastAsia"/>
                <w:color w:val="auto"/>
                <w:sz w:val="24"/>
                <w:szCs w:val="24"/>
              </w:rPr>
              <w:t>创业之星</w:t>
            </w:r>
            <w:r>
              <w:rPr>
                <w:rFonts w:asciiTheme="minorEastAsia" w:hAnsiTheme="minorEastAsia" w:eastAsiaTheme="minorEastAsia"/>
                <w:color w:val="auto"/>
                <w:sz w:val="24"/>
                <w:szCs w:val="24"/>
              </w:rPr>
              <w:t>”系列活动得2分，最高得4分；</w:t>
            </w:r>
          </w:p>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②每举办1场双创活动得</w:t>
            </w: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分，最高得</w:t>
            </w:r>
            <w:r>
              <w:rPr>
                <w:rFonts w:hint="eastAsia" w:asciiTheme="minorEastAsia" w:hAnsiTheme="minorEastAsia" w:eastAsiaTheme="minorEastAsia"/>
                <w:color w:val="auto"/>
                <w:sz w:val="24"/>
                <w:szCs w:val="24"/>
              </w:rPr>
              <w:t>6</w:t>
            </w:r>
            <w:r>
              <w:rPr>
                <w:rFonts w:asciiTheme="minorEastAsia" w:hAnsiTheme="minorEastAsia" w:eastAsiaTheme="minorEastAsia"/>
                <w:color w:val="auto"/>
                <w:sz w:val="24"/>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4</w:t>
            </w:r>
            <w:r>
              <w:rPr>
                <w:rFonts w:asciiTheme="minorEastAsia" w:hAnsiTheme="minorEastAsia" w:eastAsiaTheme="minorEastAsia"/>
                <w:color w:val="auto"/>
                <w:sz w:val="24"/>
                <w:szCs w:val="24"/>
              </w:rPr>
              <w:t>、创业导师</w:t>
            </w:r>
          </w:p>
        </w:tc>
        <w:tc>
          <w:tcPr>
            <w:tcW w:w="284" w:type="pct"/>
            <w:tcBorders>
              <w:top w:val="outset" w:color="auto" w:sz="6" w:space="0"/>
              <w:left w:val="outset" w:color="auto" w:sz="6" w:space="0"/>
              <w:bottom w:val="outset" w:color="auto" w:sz="6" w:space="0"/>
              <w:right w:val="outset" w:color="auto" w:sz="6" w:space="0"/>
            </w:tcBorders>
            <w:noWrap/>
            <w:vAlign w:val="center"/>
          </w:tcPr>
          <w:p>
            <w:pPr>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10</w:t>
            </w:r>
          </w:p>
        </w:tc>
        <w:tc>
          <w:tcPr>
            <w:tcW w:w="3297"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①聘请创业导师≥10名导师得5分，＜10名导师得0-4分；</w:t>
            </w:r>
          </w:p>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②导师服务单一企业案例（1对1或多对1专项辅导），每个企业案例得1分，最高</w:t>
            </w:r>
            <w:r>
              <w:rPr>
                <w:rFonts w:hint="eastAsia" w:asciiTheme="minorEastAsia" w:hAnsiTheme="minorEastAsia" w:eastAsiaTheme="minorEastAsia"/>
                <w:color w:val="auto"/>
                <w:sz w:val="24"/>
                <w:szCs w:val="24"/>
              </w:rPr>
              <w:t>得</w:t>
            </w:r>
            <w:r>
              <w:rPr>
                <w:rFonts w:asciiTheme="minorEastAsia" w:hAnsiTheme="minorEastAsia" w:eastAsiaTheme="minorEastAsia"/>
                <w:color w:val="auto"/>
                <w:sz w:val="24"/>
                <w:szCs w:val="24"/>
              </w:rPr>
              <w:t>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3" w:type="pct"/>
            <w:tcBorders>
              <w:top w:val="outset" w:color="auto" w:sz="6" w:space="0"/>
              <w:left w:val="outset" w:color="auto" w:sz="6" w:space="0"/>
              <w:bottom w:val="outset" w:color="auto" w:sz="6" w:space="0"/>
              <w:right w:val="outset" w:color="auto" w:sz="6" w:space="0"/>
            </w:tcBorders>
            <w:vAlign w:val="center"/>
          </w:tcPr>
          <w:p>
            <w:pP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5、培训工作</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5</w:t>
            </w:r>
          </w:p>
        </w:tc>
        <w:tc>
          <w:tcPr>
            <w:tcW w:w="3297"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员工年度教育培训不少于40学时，并有培训工作计划、培训内容、参训人员名单。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6</w:t>
            </w:r>
            <w:r>
              <w:rPr>
                <w:rFonts w:asciiTheme="minorEastAsia" w:hAnsiTheme="minorEastAsia" w:eastAsiaTheme="minorEastAsia"/>
                <w:color w:val="auto"/>
                <w:sz w:val="24"/>
                <w:szCs w:val="24"/>
              </w:rPr>
              <w:t>、媒体宣传</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p>
        </w:tc>
        <w:tc>
          <w:tcPr>
            <w:tcW w:w="3297"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积极宣传</w:t>
            </w:r>
            <w:r>
              <w:rPr>
                <w:rFonts w:hint="eastAsia" w:asciiTheme="minorEastAsia" w:hAnsiTheme="minorEastAsia" w:eastAsiaTheme="minorEastAsia"/>
                <w:color w:val="auto"/>
                <w:sz w:val="24"/>
                <w:szCs w:val="24"/>
              </w:rPr>
              <w:t>创业基地</w:t>
            </w:r>
            <w:r>
              <w:rPr>
                <w:rFonts w:asciiTheme="minorEastAsia" w:hAnsiTheme="minorEastAsia" w:eastAsiaTheme="minorEastAsia"/>
                <w:color w:val="auto"/>
                <w:sz w:val="24"/>
                <w:szCs w:val="24"/>
              </w:rPr>
              <w:t>及</w:t>
            </w:r>
            <w:r>
              <w:rPr>
                <w:rFonts w:hint="eastAsia" w:asciiTheme="minorEastAsia" w:hAnsiTheme="minorEastAsia" w:eastAsiaTheme="minorEastAsia"/>
                <w:color w:val="auto"/>
                <w:sz w:val="24"/>
                <w:szCs w:val="24"/>
              </w:rPr>
              <w:t>创业</w:t>
            </w:r>
            <w:r>
              <w:rPr>
                <w:rFonts w:asciiTheme="minorEastAsia" w:hAnsiTheme="minorEastAsia" w:eastAsiaTheme="minorEastAsia"/>
                <w:color w:val="auto"/>
                <w:sz w:val="24"/>
                <w:szCs w:val="24"/>
              </w:rPr>
              <w:t>企业自身建设、科技成果、创业活动等相关信息，</w:t>
            </w:r>
            <w:r>
              <w:rPr>
                <w:rFonts w:hint="eastAsia" w:asciiTheme="minorEastAsia" w:hAnsiTheme="minorEastAsia" w:eastAsiaTheme="minorEastAsia"/>
                <w:color w:val="auto"/>
                <w:sz w:val="24"/>
                <w:szCs w:val="24"/>
              </w:rPr>
              <w:t>以各大网站及</w:t>
            </w:r>
            <w:r>
              <w:rPr>
                <w:rFonts w:asciiTheme="minorEastAsia" w:hAnsiTheme="minorEastAsia" w:eastAsiaTheme="minorEastAsia"/>
                <w:color w:val="auto"/>
                <w:sz w:val="24"/>
                <w:szCs w:val="24"/>
              </w:rPr>
              <w:t>公众号上的宣传稿为依据，每篇加1分，</w:t>
            </w:r>
            <w:r>
              <w:rPr>
                <w:rFonts w:hint="eastAsia" w:asciiTheme="minorEastAsia" w:hAnsiTheme="minorEastAsia" w:eastAsiaTheme="minorEastAsia"/>
                <w:color w:val="auto"/>
                <w:sz w:val="24"/>
                <w:szCs w:val="24"/>
              </w:rPr>
              <w:t>最高得5</w:t>
            </w:r>
            <w:r>
              <w:rPr>
                <w:rFonts w:asciiTheme="minorEastAsia" w:hAnsiTheme="minorEastAsia" w:eastAsiaTheme="minorEastAsia"/>
                <w:color w:val="auto"/>
                <w:sz w:val="24"/>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vMerge w:val="restar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创业</w:t>
            </w:r>
            <w:r>
              <w:rPr>
                <w:rFonts w:asciiTheme="minorEastAsia" w:hAnsiTheme="minorEastAsia" w:eastAsiaTheme="minorEastAsia"/>
                <w:color w:val="auto"/>
                <w:sz w:val="24"/>
                <w:szCs w:val="24"/>
              </w:rPr>
              <w:t>服务成效（</w:t>
            </w:r>
            <w:r>
              <w:rPr>
                <w:rFonts w:hint="eastAsia" w:asciiTheme="minorEastAsia" w:hAnsiTheme="minorEastAsia" w:eastAsiaTheme="minorEastAsia"/>
                <w:color w:val="auto"/>
                <w:sz w:val="24"/>
                <w:szCs w:val="24"/>
              </w:rPr>
              <w:t>30</w:t>
            </w:r>
            <w:r>
              <w:rPr>
                <w:rFonts w:asciiTheme="minorEastAsia" w:hAnsiTheme="minorEastAsia" w:eastAsiaTheme="minorEastAsia"/>
                <w:color w:val="auto"/>
                <w:sz w:val="24"/>
                <w:szCs w:val="24"/>
              </w:rPr>
              <w:t>分）</w:t>
            </w:r>
          </w:p>
        </w:tc>
        <w:tc>
          <w:tcPr>
            <w:tcW w:w="92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7</w:t>
            </w:r>
            <w:r>
              <w:rPr>
                <w:rFonts w:asciiTheme="minorEastAsia" w:hAnsiTheme="minorEastAsia" w:eastAsiaTheme="minorEastAsia"/>
                <w:color w:val="auto"/>
                <w:sz w:val="24"/>
                <w:szCs w:val="24"/>
              </w:rPr>
              <w:t>、年度在孵企业数</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lang w:val="en-US" w:eastAsia="zh-CN"/>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5</w:t>
            </w:r>
          </w:p>
        </w:tc>
        <w:tc>
          <w:tcPr>
            <w:tcW w:w="3297"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年度在孵创业企业10</w:t>
            </w:r>
            <w:r>
              <w:rPr>
                <w:rFonts w:asciiTheme="minorEastAsia" w:hAnsiTheme="minorEastAsia" w:eastAsiaTheme="minorEastAsia"/>
                <w:color w:val="auto"/>
                <w:sz w:val="24"/>
                <w:szCs w:val="24"/>
              </w:rPr>
              <w:t>家：</w:t>
            </w:r>
            <w:r>
              <w:rPr>
                <w:rFonts w:hint="eastAsia" w:asciiTheme="minorEastAsia" w:hAnsiTheme="minorEastAsia" w:eastAsiaTheme="minorEastAsia"/>
                <w:color w:val="auto"/>
                <w:sz w:val="24"/>
                <w:szCs w:val="24"/>
              </w:rPr>
              <w:t>10</w:t>
            </w:r>
            <w:r>
              <w:rPr>
                <w:rFonts w:asciiTheme="minorEastAsia" w:hAnsiTheme="minorEastAsia" w:eastAsiaTheme="minorEastAsia"/>
                <w:color w:val="auto"/>
                <w:sz w:val="24"/>
                <w:szCs w:val="24"/>
              </w:rPr>
              <w:t>分；；</w:t>
            </w:r>
            <w:r>
              <w:rPr>
                <w:rFonts w:hint="eastAsia" w:asciiTheme="minorEastAsia" w:hAnsiTheme="minorEastAsia" w:eastAsiaTheme="minorEastAsia"/>
                <w:color w:val="auto"/>
                <w:sz w:val="24"/>
                <w:szCs w:val="24"/>
              </w:rPr>
              <w:t>10家以上：每增加1家，</w:t>
            </w:r>
            <w:r>
              <w:rPr>
                <w:rFonts w:asciiTheme="minorEastAsia" w:hAnsiTheme="minorEastAsia" w:eastAsiaTheme="minorEastAsia"/>
                <w:color w:val="auto"/>
                <w:sz w:val="24"/>
                <w:szCs w:val="24"/>
              </w:rPr>
              <w:t>该项评估增加</w:t>
            </w:r>
            <w:r>
              <w:rPr>
                <w:rFonts w:hint="eastAsia" w:asciiTheme="minorEastAsia" w:hAnsiTheme="minorEastAsia" w:eastAsiaTheme="minorEastAsia"/>
                <w:color w:val="auto"/>
                <w:sz w:val="24"/>
                <w:szCs w:val="24"/>
                <w:lang w:val="en-US" w:eastAsia="zh-CN"/>
              </w:rPr>
              <w:t>1</w:t>
            </w:r>
            <w:r>
              <w:rPr>
                <w:rFonts w:asciiTheme="minorEastAsia" w:hAnsiTheme="minorEastAsia" w:eastAsiaTheme="minorEastAsia"/>
                <w:color w:val="auto"/>
                <w:sz w:val="24"/>
                <w:szCs w:val="24"/>
              </w:rPr>
              <w:t>分，直至增加</w:t>
            </w:r>
            <w:r>
              <w:rPr>
                <w:rFonts w:hint="eastAsia" w:asciiTheme="minorEastAsia" w:hAnsiTheme="minorEastAsia" w:eastAsiaTheme="minorEastAsia"/>
                <w:color w:val="auto"/>
                <w:sz w:val="24"/>
                <w:szCs w:val="24"/>
                <w:lang w:val="en-US" w:eastAsia="zh-CN"/>
              </w:rPr>
              <w:t>5</w:t>
            </w:r>
            <w:r>
              <w:rPr>
                <w:rFonts w:asciiTheme="minorEastAsia" w:hAnsiTheme="minorEastAsia" w:eastAsiaTheme="minorEastAsia"/>
                <w:color w:val="auto"/>
                <w:sz w:val="24"/>
                <w:szCs w:val="24"/>
              </w:rPr>
              <w:t>分为止</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8</w:t>
            </w:r>
            <w:r>
              <w:rPr>
                <w:rFonts w:asciiTheme="minorEastAsia" w:hAnsiTheme="minorEastAsia" w:eastAsiaTheme="minorEastAsia"/>
                <w:color w:val="auto"/>
                <w:sz w:val="24"/>
                <w:szCs w:val="24"/>
              </w:rPr>
              <w:t>、年度获得国家高新技术企业数</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p>
        </w:tc>
        <w:tc>
          <w:tcPr>
            <w:tcW w:w="3297"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①年度获得国家高新技术企业数1家：3分；1家以上：每增加1家，该项评估增加</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分，直至增加</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分为止；年度未获得国家高新技术企业，该项评估不得分。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9</w:t>
            </w:r>
            <w:r>
              <w:rPr>
                <w:rFonts w:asciiTheme="minorEastAsia" w:hAnsiTheme="minorEastAsia" w:eastAsiaTheme="minorEastAsia"/>
                <w:color w:val="auto"/>
                <w:sz w:val="24"/>
                <w:szCs w:val="24"/>
              </w:rPr>
              <w:t>、在孵企业参加当年中国创新创业大赛或路演活动情况</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5</w:t>
            </w:r>
          </w:p>
        </w:tc>
        <w:tc>
          <w:tcPr>
            <w:tcW w:w="3297"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在孵企业参加中国创新创业大赛（通过初审活动正式比赛资格的）或路演活动的，每</w:t>
            </w:r>
            <w:r>
              <w:rPr>
                <w:rFonts w:hint="eastAsia" w:asciiTheme="minorEastAsia" w:hAnsiTheme="minorEastAsia" w:eastAsiaTheme="minorEastAsia"/>
                <w:color w:val="auto"/>
                <w:sz w:val="24"/>
                <w:szCs w:val="24"/>
                <w:lang w:val="en-US" w:eastAsia="zh-CN"/>
              </w:rPr>
              <w:t>参</w:t>
            </w:r>
            <w:r>
              <w:rPr>
                <w:rFonts w:asciiTheme="minorEastAsia" w:hAnsiTheme="minorEastAsia" w:eastAsiaTheme="minorEastAsia"/>
                <w:color w:val="auto"/>
                <w:sz w:val="24"/>
                <w:szCs w:val="24"/>
              </w:rPr>
              <w:t>加1家得1分，最高</w:t>
            </w:r>
            <w:r>
              <w:rPr>
                <w:rFonts w:hint="eastAsia" w:asciiTheme="minorEastAsia" w:hAnsiTheme="minorEastAsia" w:eastAsiaTheme="minorEastAsia"/>
                <w:color w:val="auto"/>
                <w:sz w:val="24"/>
                <w:szCs w:val="24"/>
                <w:lang w:val="en-US" w:eastAsia="zh-CN"/>
              </w:rPr>
              <w:t>5</w:t>
            </w:r>
            <w:r>
              <w:rPr>
                <w:rFonts w:asciiTheme="minorEastAsia" w:hAnsiTheme="minorEastAsia" w:eastAsiaTheme="minorEastAsia"/>
                <w:color w:val="auto"/>
                <w:sz w:val="24"/>
                <w:szCs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10</w:t>
            </w:r>
            <w:r>
              <w:rPr>
                <w:rFonts w:asciiTheme="minorEastAsia" w:hAnsiTheme="minorEastAsia" w:eastAsiaTheme="minorEastAsia"/>
                <w:color w:val="auto"/>
                <w:sz w:val="24"/>
                <w:szCs w:val="24"/>
              </w:rPr>
              <w:t>、在孵企业技术合同登记情况</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5</w:t>
            </w:r>
          </w:p>
        </w:tc>
        <w:tc>
          <w:tcPr>
            <w:tcW w:w="3297"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在孵企业当年技术合同登记总额不低于1000万元得2分，不低于500万元得1分，低于500万元不得分</w:t>
            </w:r>
            <w:r>
              <w:rPr>
                <w:rFonts w:hint="eastAsia" w:asciiTheme="minorEastAsia" w:hAnsiTheme="minorEastAsia" w:eastAsiaTheme="minorEastAsia"/>
                <w:color w:val="auto"/>
                <w:sz w:val="24"/>
                <w:szCs w:val="24"/>
              </w:rPr>
              <w:t>，最高得</w:t>
            </w: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分</w:t>
            </w:r>
            <w:r>
              <w:rPr>
                <w:rFonts w:asciiTheme="minorEastAsia" w:hAnsiTheme="minorEastAsia" w:eastAsiaTheme="minorEastAsia"/>
                <w:color w:val="auto"/>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vMerge w:val="restart"/>
            <w:tcBorders>
              <w:top w:val="outset" w:color="auto" w:sz="6" w:space="0"/>
              <w:left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公共服务成效（</w:t>
            </w:r>
            <w:r>
              <w:rPr>
                <w:rFonts w:hint="eastAsia" w:asciiTheme="minorEastAsia" w:hAnsiTheme="minorEastAsia" w:eastAsiaTheme="minorEastAsia"/>
                <w:color w:val="auto"/>
                <w:sz w:val="24"/>
                <w:szCs w:val="24"/>
                <w:lang w:val="en-US" w:eastAsia="zh-CN"/>
              </w:rPr>
              <w:t>25</w:t>
            </w:r>
            <w:r>
              <w:rPr>
                <w:rFonts w:asciiTheme="minorEastAsia" w:hAnsiTheme="minorEastAsia" w:eastAsiaTheme="minorEastAsia"/>
                <w:color w:val="auto"/>
                <w:sz w:val="24"/>
                <w:szCs w:val="24"/>
              </w:rPr>
              <w:t>分）</w:t>
            </w:r>
          </w:p>
        </w:tc>
        <w:tc>
          <w:tcPr>
            <w:tcW w:w="92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1</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安全办公</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10</w:t>
            </w:r>
          </w:p>
        </w:tc>
        <w:tc>
          <w:tcPr>
            <w:tcW w:w="3297"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①孵化器及在孵企业安全</w:t>
            </w:r>
            <w:r>
              <w:rPr>
                <w:rFonts w:hint="eastAsia" w:asciiTheme="minorEastAsia" w:hAnsiTheme="minorEastAsia" w:eastAsiaTheme="minorEastAsia"/>
                <w:color w:val="auto"/>
                <w:sz w:val="24"/>
                <w:szCs w:val="24"/>
                <w:lang w:val="en-US" w:eastAsia="zh-CN"/>
              </w:rPr>
              <w:t>办公</w:t>
            </w:r>
            <w:r>
              <w:rPr>
                <w:rFonts w:asciiTheme="minorEastAsia" w:hAnsiTheme="minorEastAsia" w:eastAsiaTheme="minorEastAsia"/>
                <w:color w:val="auto"/>
                <w:sz w:val="24"/>
                <w:szCs w:val="24"/>
              </w:rPr>
              <w:t>，全年无安全</w:t>
            </w:r>
            <w:r>
              <w:rPr>
                <w:rFonts w:hint="eastAsia" w:asciiTheme="minorEastAsia" w:hAnsiTheme="minorEastAsia" w:eastAsiaTheme="minorEastAsia"/>
                <w:color w:val="auto"/>
                <w:sz w:val="24"/>
                <w:szCs w:val="24"/>
                <w:lang w:val="en-US" w:eastAsia="zh-CN"/>
              </w:rPr>
              <w:t>办公</w:t>
            </w:r>
            <w:r>
              <w:rPr>
                <w:rFonts w:asciiTheme="minorEastAsia" w:hAnsiTheme="minorEastAsia" w:eastAsiaTheme="minorEastAsia"/>
                <w:color w:val="auto"/>
                <w:sz w:val="24"/>
                <w:szCs w:val="24"/>
              </w:rPr>
              <w:t>事故（</w:t>
            </w:r>
            <w:r>
              <w:rPr>
                <w:rFonts w:hint="eastAsia" w:asciiTheme="minorEastAsia" w:hAnsiTheme="minorEastAsia" w:eastAsiaTheme="minorEastAsia"/>
                <w:color w:val="auto"/>
                <w:sz w:val="24"/>
                <w:szCs w:val="24"/>
                <w:lang w:val="en-US" w:eastAsia="zh-CN"/>
              </w:rPr>
              <w:t>5</w:t>
            </w:r>
            <w:r>
              <w:rPr>
                <w:rFonts w:asciiTheme="minorEastAsia" w:hAnsiTheme="minorEastAsia" w:eastAsiaTheme="minorEastAsia"/>
                <w:color w:val="auto"/>
                <w:sz w:val="24"/>
                <w:szCs w:val="24"/>
              </w:rPr>
              <w:t>分）；②按时领取安全</w:t>
            </w:r>
            <w:r>
              <w:rPr>
                <w:rFonts w:hint="eastAsia" w:asciiTheme="minorEastAsia" w:hAnsiTheme="minorEastAsia" w:eastAsiaTheme="minorEastAsia"/>
                <w:color w:val="auto"/>
                <w:sz w:val="24"/>
                <w:szCs w:val="24"/>
                <w:lang w:val="en-US" w:eastAsia="zh-CN"/>
              </w:rPr>
              <w:t>办公</w:t>
            </w:r>
            <w:r>
              <w:rPr>
                <w:rFonts w:asciiTheme="minorEastAsia" w:hAnsiTheme="minorEastAsia" w:eastAsiaTheme="minorEastAsia"/>
                <w:color w:val="auto"/>
                <w:sz w:val="24"/>
                <w:szCs w:val="24"/>
              </w:rPr>
              <w:t>文件，上报安全</w:t>
            </w:r>
            <w:r>
              <w:rPr>
                <w:rFonts w:hint="eastAsia" w:asciiTheme="minorEastAsia" w:hAnsiTheme="minorEastAsia" w:eastAsiaTheme="minorEastAsia"/>
                <w:color w:val="auto"/>
                <w:sz w:val="24"/>
                <w:szCs w:val="24"/>
                <w:lang w:val="en-US" w:eastAsia="zh-CN"/>
              </w:rPr>
              <w:t>工作</w:t>
            </w:r>
            <w:r>
              <w:rPr>
                <w:rFonts w:asciiTheme="minorEastAsia" w:hAnsiTheme="minorEastAsia" w:eastAsiaTheme="minorEastAsia"/>
                <w:color w:val="auto"/>
                <w:sz w:val="24"/>
                <w:szCs w:val="24"/>
              </w:rPr>
              <w:t>总结，积极开展安全检查、培训、宣传活动（</w:t>
            </w:r>
            <w:r>
              <w:rPr>
                <w:rFonts w:hint="eastAsia" w:asciiTheme="minorEastAsia" w:hAnsiTheme="minorEastAsia" w:eastAsiaTheme="minorEastAsia"/>
                <w:color w:val="auto"/>
                <w:sz w:val="24"/>
                <w:szCs w:val="24"/>
                <w:lang w:val="en-US" w:eastAsia="zh-CN"/>
              </w:rPr>
              <w:t>5</w:t>
            </w:r>
            <w:r>
              <w:rPr>
                <w:rFonts w:asciiTheme="minorEastAsia" w:hAnsiTheme="minorEastAsia" w:eastAsiaTheme="minorEastAsia"/>
                <w:color w:val="auto"/>
                <w:sz w:val="24"/>
                <w:szCs w:val="24"/>
              </w:rPr>
              <w:t>分）；</w:t>
            </w:r>
          </w:p>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③发生重大安全生产事故的，实行一票否决。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vMerge w:val="continue"/>
            <w:tcBorders>
              <w:left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2</w:t>
            </w:r>
            <w:r>
              <w:rPr>
                <w:rFonts w:asciiTheme="minorEastAsia" w:hAnsiTheme="minorEastAsia" w:eastAsiaTheme="minorEastAsia"/>
                <w:color w:val="auto"/>
                <w:sz w:val="24"/>
                <w:szCs w:val="24"/>
              </w:rPr>
              <w:t>、配合</w:t>
            </w:r>
            <w:r>
              <w:rPr>
                <w:rFonts w:hint="eastAsia" w:asciiTheme="minorEastAsia" w:hAnsiTheme="minorEastAsia" w:eastAsiaTheme="minorEastAsia"/>
                <w:color w:val="auto"/>
                <w:sz w:val="24"/>
                <w:szCs w:val="24"/>
              </w:rPr>
              <w:t>相关</w:t>
            </w:r>
            <w:r>
              <w:rPr>
                <w:rFonts w:asciiTheme="minorEastAsia" w:hAnsiTheme="minorEastAsia" w:eastAsiaTheme="minorEastAsia"/>
                <w:color w:val="auto"/>
                <w:sz w:val="24"/>
                <w:szCs w:val="24"/>
              </w:rPr>
              <w:t>部门推进双创各项工作的情况</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5</w:t>
            </w:r>
          </w:p>
        </w:tc>
        <w:tc>
          <w:tcPr>
            <w:tcW w:w="3297" w:type="pct"/>
            <w:tcBorders>
              <w:top w:val="outset" w:color="auto" w:sz="6" w:space="0"/>
              <w:left w:val="outset" w:color="auto" w:sz="6" w:space="0"/>
              <w:bottom w:val="outset" w:color="auto" w:sz="6" w:space="0"/>
              <w:right w:val="outset" w:color="auto" w:sz="6" w:space="0"/>
            </w:tcBorders>
            <w:vAlign w:val="center"/>
          </w:tcPr>
          <w:p>
            <w:pP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配合相关部门</w:t>
            </w:r>
            <w:r>
              <w:rPr>
                <w:rFonts w:asciiTheme="minorEastAsia" w:hAnsiTheme="minorEastAsia" w:eastAsiaTheme="minorEastAsia"/>
                <w:color w:val="auto"/>
                <w:sz w:val="24"/>
                <w:szCs w:val="24"/>
              </w:rPr>
              <w:t>推进</w:t>
            </w:r>
            <w:r>
              <w:rPr>
                <w:rFonts w:hint="eastAsia" w:asciiTheme="minorEastAsia" w:hAnsiTheme="minorEastAsia" w:eastAsiaTheme="minorEastAsia"/>
                <w:color w:val="auto"/>
                <w:sz w:val="24"/>
                <w:szCs w:val="24"/>
                <w:lang w:val="en-US" w:eastAsia="zh-CN"/>
              </w:rPr>
              <w:t>双创基地</w:t>
            </w:r>
            <w:r>
              <w:rPr>
                <w:rFonts w:asciiTheme="minorEastAsia" w:hAnsiTheme="minorEastAsia" w:eastAsiaTheme="minorEastAsia"/>
                <w:color w:val="auto"/>
                <w:sz w:val="24"/>
                <w:szCs w:val="24"/>
              </w:rPr>
              <w:t>各项工作，</w:t>
            </w:r>
            <w:r>
              <w:rPr>
                <w:rFonts w:hint="eastAsia" w:asciiTheme="minorEastAsia" w:hAnsiTheme="minorEastAsia" w:eastAsiaTheme="minorEastAsia"/>
                <w:color w:val="auto"/>
                <w:sz w:val="24"/>
                <w:szCs w:val="24"/>
                <w:lang w:val="en-US" w:eastAsia="zh-CN"/>
              </w:rPr>
              <w:t>提交统计数据真实、齐全得5分。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vMerge w:val="continue"/>
            <w:tcBorders>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rPr>
              <w:t>、省市级基地</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w:t>
            </w:r>
          </w:p>
        </w:tc>
        <w:tc>
          <w:tcPr>
            <w:tcW w:w="3297" w:type="pct"/>
            <w:tcBorders>
              <w:top w:val="outset" w:color="auto" w:sz="6" w:space="0"/>
              <w:left w:val="outset" w:color="auto" w:sz="6" w:space="0"/>
              <w:bottom w:val="outset" w:color="auto" w:sz="6" w:space="0"/>
              <w:right w:val="outset" w:color="auto" w:sz="6" w:space="0"/>
            </w:tcBorders>
            <w:vAlign w:val="center"/>
          </w:tcPr>
          <w:p>
            <w:pPr>
              <w:rPr>
                <w:color w:val="auto"/>
                <w:sz w:val="24"/>
                <w:szCs w:val="24"/>
              </w:rPr>
            </w:pPr>
            <w:r>
              <w:rPr>
                <w:rFonts w:hint="eastAsia"/>
                <w:color w:val="auto"/>
                <w:sz w:val="24"/>
                <w:szCs w:val="24"/>
              </w:rPr>
              <w:t>达到唐山市级创新创业基地标准得5分；</w:t>
            </w:r>
          </w:p>
          <w:p>
            <w:pPr>
              <w:rPr>
                <w:rFonts w:asciiTheme="minorEastAsia" w:hAnsiTheme="minorEastAsia" w:eastAsiaTheme="minorEastAsia"/>
                <w:color w:val="auto"/>
                <w:sz w:val="24"/>
                <w:szCs w:val="24"/>
              </w:rPr>
            </w:pPr>
            <w:r>
              <w:rPr>
                <w:rFonts w:hint="eastAsia"/>
                <w:color w:val="auto"/>
                <w:sz w:val="24"/>
                <w:szCs w:val="24"/>
              </w:rPr>
              <w:t>达到河北省级创新创业基地标准得10分。最高得10分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总分</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100</w:t>
            </w:r>
          </w:p>
        </w:tc>
        <w:tc>
          <w:tcPr>
            <w:tcW w:w="3297" w:type="pct"/>
            <w:tcBorders>
              <w:top w:val="outset" w:color="auto" w:sz="6" w:space="0"/>
              <w:left w:val="outset" w:color="auto" w:sz="6" w:space="0"/>
              <w:bottom w:val="outset" w:color="auto" w:sz="6" w:space="0"/>
              <w:right w:val="outset" w:color="auto" w:sz="6" w:space="0"/>
            </w:tcBorders>
            <w:vAlign w:val="center"/>
          </w:tcPr>
          <w:p>
            <w:pPr>
              <w:rPr>
                <w:rFonts w:hint="eastAsia" w:asciiTheme="minorEastAsia" w:hAnsiTheme="minorEastAsia" w:eastAsiaTheme="minorEastAsia"/>
                <w:color w:val="auto"/>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vMerge w:val="restar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加分项</w:t>
            </w:r>
            <w:r>
              <w:rPr>
                <w:rFonts w:asciiTheme="minorEastAsia" w:hAnsiTheme="minorEastAsia" w:eastAsiaTheme="minorEastAsia"/>
                <w:color w:val="auto"/>
                <w:sz w:val="24"/>
                <w:szCs w:val="24"/>
              </w:rPr>
              <w:br w:type="textWrapping"/>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5分）</w:t>
            </w:r>
          </w:p>
        </w:tc>
        <w:tc>
          <w:tcPr>
            <w:tcW w:w="92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4</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获得奖项</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w:t>
            </w:r>
          </w:p>
        </w:tc>
        <w:tc>
          <w:tcPr>
            <w:tcW w:w="3297"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获得市级奖项得</w:t>
            </w:r>
            <w:r>
              <w:rPr>
                <w:rFonts w:asciiTheme="minorEastAsia" w:hAnsiTheme="minorEastAsia" w:eastAsiaTheme="minorEastAsia"/>
                <w:color w:val="auto"/>
                <w:sz w:val="24"/>
                <w:szCs w:val="24"/>
              </w:rPr>
              <w:t>2分</w:t>
            </w:r>
            <w:r>
              <w:rPr>
                <w:rFonts w:hint="eastAsia" w:asciiTheme="minorEastAsia" w:hAnsiTheme="minorEastAsia" w:eastAsiaTheme="minorEastAsia"/>
                <w:color w:val="auto"/>
                <w:sz w:val="24"/>
                <w:szCs w:val="24"/>
              </w:rPr>
              <w:t>，获得省级奖项得4分，最高得10分</w:t>
            </w:r>
            <w:r>
              <w:rPr>
                <w:rFonts w:asciiTheme="minorEastAsia" w:hAnsiTheme="minorEastAsia" w:eastAsiaTheme="minorEastAsia"/>
                <w:color w:val="auto"/>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94" w:type="pct"/>
            <w:vMerge w:val="continue"/>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p>
        </w:tc>
        <w:tc>
          <w:tcPr>
            <w:tcW w:w="92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5</w:t>
            </w:r>
            <w:r>
              <w:rPr>
                <w:rFonts w:asciiTheme="minorEastAsia" w:hAnsiTheme="minorEastAsia" w:eastAsiaTheme="minorEastAsia"/>
                <w:color w:val="auto"/>
                <w:sz w:val="24"/>
                <w:szCs w:val="24"/>
              </w:rPr>
              <w:t>、举办国际化大型活动情况</w:t>
            </w:r>
          </w:p>
        </w:tc>
        <w:tc>
          <w:tcPr>
            <w:tcW w:w="284"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p>
        </w:tc>
        <w:tc>
          <w:tcPr>
            <w:tcW w:w="3297"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举办一场具有国际影响力的大型双创活动，得</w:t>
            </w:r>
            <w:r>
              <w:rPr>
                <w:rFonts w:hint="eastAsia" w:asciiTheme="minorEastAsia" w:hAnsiTheme="minorEastAsia" w:eastAsiaTheme="minorEastAsia"/>
                <w:color w:val="auto"/>
                <w:sz w:val="24"/>
                <w:szCs w:val="24"/>
              </w:rPr>
              <w:t>5</w:t>
            </w:r>
            <w:r>
              <w:rPr>
                <w:rFonts w:asciiTheme="minorEastAsia" w:hAnsiTheme="minorEastAsia" w:eastAsiaTheme="minorEastAsia"/>
                <w:color w:val="auto"/>
                <w:sz w:val="24"/>
                <w:szCs w:val="24"/>
              </w:rPr>
              <w:t>分</w:t>
            </w:r>
          </w:p>
        </w:tc>
      </w:tr>
    </w:tbl>
    <w:p>
      <w:pPr>
        <w:ind w:right="1" w:firstLine="480"/>
        <w:rPr>
          <w:b/>
          <w:sz w:val="24"/>
          <w:szCs w:val="24"/>
        </w:rPr>
      </w:pPr>
      <w:r>
        <w:rPr>
          <w:rFonts w:hint="eastAsia"/>
          <w:b/>
          <w:sz w:val="24"/>
          <w:szCs w:val="24"/>
          <w:lang w:val="en-US" w:eastAsia="zh-CN"/>
        </w:rPr>
        <w:t>八</w:t>
      </w:r>
      <w:r>
        <w:rPr>
          <w:rFonts w:hint="eastAsia"/>
          <w:b/>
          <w:sz w:val="24"/>
          <w:szCs w:val="24"/>
        </w:rPr>
        <w:t>、本协议的变更和解除</w:t>
      </w:r>
    </w:p>
    <w:p>
      <w:pPr>
        <w:ind w:right="1" w:firstLine="480"/>
        <w:rPr>
          <w:bCs/>
          <w:sz w:val="24"/>
          <w:szCs w:val="24"/>
        </w:rPr>
      </w:pPr>
      <w:r>
        <w:rPr>
          <w:rFonts w:hint="eastAsia"/>
          <w:bCs/>
          <w:sz w:val="24"/>
          <w:szCs w:val="24"/>
        </w:rPr>
        <w:t>1</w:t>
      </w:r>
      <w:r>
        <w:rPr>
          <w:rFonts w:hint="eastAsia"/>
          <w:bCs/>
          <w:sz w:val="24"/>
          <w:szCs w:val="24"/>
          <w:lang w:val="en-US" w:eastAsia="zh-CN"/>
        </w:rPr>
        <w:t>6</w:t>
      </w:r>
      <w:r>
        <w:rPr>
          <w:rFonts w:hint="eastAsia"/>
          <w:bCs/>
          <w:sz w:val="24"/>
          <w:szCs w:val="24"/>
        </w:rPr>
        <w:t>、乙方出现下列任何一种情况时，甲方有权单方面解除合同。</w:t>
      </w:r>
    </w:p>
    <w:p>
      <w:pPr>
        <w:ind w:right="1" w:firstLine="480"/>
        <w:rPr>
          <w:bCs/>
          <w:sz w:val="24"/>
          <w:szCs w:val="24"/>
        </w:rPr>
      </w:pPr>
      <w:r>
        <w:rPr>
          <w:rFonts w:hint="eastAsia"/>
          <w:bCs/>
          <w:sz w:val="24"/>
          <w:szCs w:val="24"/>
        </w:rPr>
        <w:t>（1）违反中华人民共和国法律法规和甲方市场所在地政府有关规定，从事违法经营活动，出现违法、违纪行为或其他严重问题。</w:t>
      </w:r>
    </w:p>
    <w:p>
      <w:pPr>
        <w:ind w:right="1" w:firstLine="480"/>
        <w:rPr>
          <w:bCs/>
          <w:sz w:val="24"/>
          <w:szCs w:val="24"/>
        </w:rPr>
      </w:pPr>
      <w:r>
        <w:rPr>
          <w:rFonts w:hint="eastAsia"/>
          <w:bCs/>
          <w:sz w:val="24"/>
          <w:szCs w:val="24"/>
        </w:rPr>
        <w:t>（2）在规定时间内未履行乙方义务的。</w:t>
      </w:r>
    </w:p>
    <w:p>
      <w:pPr>
        <w:ind w:right="1" w:firstLine="480"/>
        <w:rPr>
          <w:bCs/>
          <w:sz w:val="24"/>
          <w:szCs w:val="24"/>
        </w:rPr>
      </w:pPr>
      <w:r>
        <w:rPr>
          <w:rFonts w:hint="eastAsia"/>
          <w:bCs/>
          <w:sz w:val="24"/>
          <w:szCs w:val="24"/>
        </w:rPr>
        <w:t>1</w:t>
      </w:r>
      <w:r>
        <w:rPr>
          <w:rFonts w:hint="eastAsia"/>
          <w:bCs/>
          <w:sz w:val="24"/>
          <w:szCs w:val="24"/>
          <w:lang w:val="en-US" w:eastAsia="zh-CN"/>
        </w:rPr>
        <w:t>7</w:t>
      </w:r>
      <w:r>
        <w:rPr>
          <w:rFonts w:hint="eastAsia"/>
          <w:bCs/>
          <w:sz w:val="24"/>
          <w:szCs w:val="24"/>
        </w:rPr>
        <w:t>、在合作期间，有下列情况之一的，甲方或乙方有权解除本协议：</w:t>
      </w:r>
    </w:p>
    <w:p>
      <w:pPr>
        <w:ind w:right="1" w:firstLine="480"/>
        <w:rPr>
          <w:bCs/>
          <w:sz w:val="24"/>
          <w:szCs w:val="24"/>
        </w:rPr>
      </w:pPr>
      <w:r>
        <w:rPr>
          <w:rFonts w:hint="eastAsia"/>
          <w:bCs/>
          <w:sz w:val="24"/>
          <w:szCs w:val="24"/>
        </w:rPr>
        <w:t>（1）因不可抗力的原因致使运营场地无法持续运营或建筑物及其设施损坏，导致本协议不能履行的。</w:t>
      </w:r>
    </w:p>
    <w:p>
      <w:pPr>
        <w:ind w:right="1" w:firstLine="480"/>
        <w:rPr>
          <w:bCs/>
          <w:sz w:val="24"/>
          <w:szCs w:val="24"/>
        </w:rPr>
      </w:pPr>
      <w:r>
        <w:rPr>
          <w:rFonts w:hint="eastAsia"/>
          <w:bCs/>
          <w:sz w:val="24"/>
          <w:szCs w:val="24"/>
        </w:rPr>
        <w:t>（2）经政府有关部门通知，建筑物被规划为动迁范围，或司法行政机关依法取消、变更甲方使用权，或其他因法律、法规、国家政策禁止的情况出现，致使本协议不能履行的。</w:t>
      </w:r>
    </w:p>
    <w:p>
      <w:pPr>
        <w:ind w:right="1" w:firstLine="480"/>
        <w:rPr>
          <w:bCs/>
          <w:sz w:val="24"/>
          <w:szCs w:val="24"/>
        </w:rPr>
      </w:pPr>
      <w:r>
        <w:rPr>
          <w:rFonts w:hint="eastAsia"/>
          <w:bCs/>
          <w:sz w:val="24"/>
          <w:szCs w:val="24"/>
        </w:rPr>
        <w:t>（3）发生以上情况之一，甲方及乙方均可免除责任，因此产生的损失由各自承担。</w:t>
      </w:r>
    </w:p>
    <w:p>
      <w:pPr>
        <w:ind w:right="1" w:firstLine="480"/>
        <w:rPr>
          <w:b/>
          <w:sz w:val="24"/>
          <w:szCs w:val="24"/>
        </w:rPr>
      </w:pPr>
      <w:r>
        <w:rPr>
          <w:rFonts w:hint="eastAsia"/>
          <w:b/>
          <w:sz w:val="24"/>
          <w:szCs w:val="24"/>
          <w:lang w:val="en-US" w:eastAsia="zh-CN"/>
        </w:rPr>
        <w:t>九</w:t>
      </w:r>
      <w:r>
        <w:rPr>
          <w:rFonts w:hint="eastAsia"/>
          <w:b/>
          <w:sz w:val="24"/>
          <w:szCs w:val="24"/>
        </w:rPr>
        <w:t>、纠纷解决</w:t>
      </w:r>
    </w:p>
    <w:p>
      <w:pPr>
        <w:ind w:right="1" w:firstLine="480"/>
        <w:rPr>
          <w:bCs/>
          <w:sz w:val="24"/>
          <w:szCs w:val="24"/>
        </w:rPr>
      </w:pPr>
      <w:r>
        <w:rPr>
          <w:rFonts w:hint="eastAsia"/>
          <w:bCs/>
          <w:sz w:val="24"/>
          <w:szCs w:val="24"/>
        </w:rPr>
        <w:t>1</w:t>
      </w:r>
      <w:r>
        <w:rPr>
          <w:rFonts w:hint="eastAsia"/>
          <w:bCs/>
          <w:sz w:val="24"/>
          <w:szCs w:val="24"/>
          <w:lang w:val="en-US" w:eastAsia="zh-CN"/>
        </w:rPr>
        <w:t>8</w:t>
      </w:r>
      <w:r>
        <w:rPr>
          <w:rFonts w:hint="eastAsia"/>
          <w:bCs/>
          <w:sz w:val="24"/>
          <w:szCs w:val="24"/>
        </w:rPr>
        <w:t>、本协议书在履行过程中发生的争议，由双方协商解决，协商不成的，双方均可依法向甲方所在地人民法院提起诉讼。</w:t>
      </w:r>
    </w:p>
    <w:p>
      <w:pPr>
        <w:ind w:right="1" w:firstLine="480"/>
        <w:rPr>
          <w:bCs/>
          <w:sz w:val="24"/>
          <w:szCs w:val="24"/>
        </w:rPr>
      </w:pPr>
      <w:r>
        <w:rPr>
          <w:rFonts w:hint="eastAsia"/>
          <w:bCs/>
          <w:sz w:val="24"/>
          <w:szCs w:val="24"/>
        </w:rPr>
        <w:t>1</w:t>
      </w:r>
      <w:r>
        <w:rPr>
          <w:rFonts w:hint="eastAsia"/>
          <w:bCs/>
          <w:sz w:val="24"/>
          <w:szCs w:val="24"/>
          <w:lang w:val="en-US" w:eastAsia="zh-CN"/>
        </w:rPr>
        <w:t>9</w:t>
      </w:r>
      <w:r>
        <w:rPr>
          <w:rFonts w:hint="eastAsia"/>
          <w:bCs/>
          <w:sz w:val="24"/>
          <w:szCs w:val="24"/>
        </w:rPr>
        <w:t>、本协议书未尽事项，甲乙双方可另行协商签订补充协议，与本协议书具有同等效力。</w:t>
      </w:r>
    </w:p>
    <w:p>
      <w:pPr>
        <w:ind w:right="1" w:firstLine="480"/>
        <w:rPr>
          <w:b/>
          <w:sz w:val="24"/>
          <w:szCs w:val="24"/>
        </w:rPr>
      </w:pPr>
      <w:r>
        <w:rPr>
          <w:rFonts w:hint="eastAsia"/>
          <w:b/>
          <w:sz w:val="24"/>
          <w:szCs w:val="24"/>
          <w:lang w:val="en-US" w:eastAsia="zh-CN"/>
        </w:rPr>
        <w:t>十</w:t>
      </w:r>
      <w:r>
        <w:rPr>
          <w:rFonts w:hint="eastAsia"/>
          <w:b/>
          <w:sz w:val="24"/>
          <w:szCs w:val="24"/>
        </w:rPr>
        <w:t>、附则</w:t>
      </w:r>
    </w:p>
    <w:p>
      <w:pPr>
        <w:ind w:right="1" w:firstLine="480"/>
        <w:rPr>
          <w:bCs/>
          <w:sz w:val="24"/>
          <w:szCs w:val="24"/>
        </w:rPr>
      </w:pPr>
      <w:r>
        <w:rPr>
          <w:rFonts w:hint="eastAsia"/>
          <w:bCs/>
          <w:sz w:val="24"/>
          <w:szCs w:val="24"/>
          <w:lang w:val="en-US" w:eastAsia="zh-CN"/>
        </w:rPr>
        <w:t>20</w:t>
      </w:r>
      <w:r>
        <w:rPr>
          <w:rFonts w:hint="eastAsia"/>
          <w:bCs/>
          <w:sz w:val="24"/>
          <w:szCs w:val="24"/>
        </w:rPr>
        <w:t>、本协议的任何修改、补充、变更，须经甲乙双方协商一致后，采用书面方式确定，经双方签字盖章后生效。</w:t>
      </w:r>
    </w:p>
    <w:p>
      <w:pPr>
        <w:ind w:right="1" w:firstLine="480"/>
        <w:rPr>
          <w:bCs/>
          <w:sz w:val="24"/>
          <w:szCs w:val="24"/>
        </w:rPr>
      </w:pPr>
      <w:r>
        <w:rPr>
          <w:rFonts w:hint="eastAsia"/>
          <w:bCs/>
          <w:sz w:val="24"/>
          <w:szCs w:val="24"/>
        </w:rPr>
        <w:t>2</w:t>
      </w:r>
      <w:r>
        <w:rPr>
          <w:rFonts w:hint="eastAsia"/>
          <w:bCs/>
          <w:sz w:val="24"/>
          <w:szCs w:val="24"/>
          <w:lang w:val="en-US" w:eastAsia="zh-CN"/>
        </w:rPr>
        <w:t>1</w:t>
      </w:r>
      <w:r>
        <w:rPr>
          <w:rFonts w:hint="eastAsia"/>
          <w:bCs/>
          <w:sz w:val="24"/>
          <w:szCs w:val="24"/>
        </w:rPr>
        <w:t>、一方在本协议书履行过程中知悉的另一方的商业秘密，负有保密的义务。</w:t>
      </w:r>
    </w:p>
    <w:p>
      <w:pPr>
        <w:ind w:right="1" w:firstLine="480"/>
        <w:rPr>
          <w:bCs/>
          <w:sz w:val="24"/>
          <w:szCs w:val="24"/>
        </w:rPr>
      </w:pPr>
      <w:r>
        <w:rPr>
          <w:rFonts w:hint="eastAsia"/>
          <w:bCs/>
          <w:sz w:val="24"/>
          <w:szCs w:val="24"/>
        </w:rPr>
        <w:t>2</w:t>
      </w:r>
      <w:r>
        <w:rPr>
          <w:rFonts w:hint="eastAsia"/>
          <w:bCs/>
          <w:sz w:val="24"/>
          <w:szCs w:val="24"/>
          <w:lang w:val="en-US" w:eastAsia="zh-CN"/>
        </w:rPr>
        <w:t>2</w:t>
      </w:r>
      <w:r>
        <w:rPr>
          <w:rFonts w:hint="eastAsia"/>
          <w:bCs/>
          <w:sz w:val="24"/>
          <w:szCs w:val="24"/>
        </w:rPr>
        <w:t>、本协议书一式肆份，由甲乙双方各执贰份，具同等法律效力。</w:t>
      </w:r>
    </w:p>
    <w:p>
      <w:pPr>
        <w:ind w:right="1" w:firstLine="480"/>
        <w:rPr>
          <w:bCs/>
          <w:sz w:val="24"/>
          <w:szCs w:val="24"/>
        </w:rPr>
      </w:pPr>
      <w:r>
        <w:rPr>
          <w:rFonts w:hint="eastAsia"/>
          <w:bCs/>
          <w:sz w:val="24"/>
          <w:szCs w:val="24"/>
        </w:rPr>
        <w:t>2</w:t>
      </w:r>
      <w:r>
        <w:rPr>
          <w:rFonts w:hint="eastAsia"/>
          <w:bCs/>
          <w:sz w:val="24"/>
          <w:szCs w:val="24"/>
          <w:lang w:val="en-US" w:eastAsia="zh-CN"/>
        </w:rPr>
        <w:t>3</w:t>
      </w:r>
      <w:r>
        <w:rPr>
          <w:rFonts w:hint="eastAsia"/>
          <w:bCs/>
          <w:sz w:val="24"/>
          <w:szCs w:val="24"/>
        </w:rPr>
        <w:t>、本协议书自双方签字（并加盖公章）之日起立即生效。</w:t>
      </w:r>
    </w:p>
    <w:p>
      <w:pPr>
        <w:ind w:right="1" w:firstLine="480"/>
        <w:rPr>
          <w:bCs/>
          <w:sz w:val="24"/>
          <w:szCs w:val="24"/>
        </w:rPr>
      </w:pPr>
    </w:p>
    <w:p>
      <w:pPr>
        <w:ind w:right="1" w:firstLine="480"/>
        <w:rPr>
          <w:bCs/>
          <w:sz w:val="24"/>
          <w:szCs w:val="24"/>
        </w:rPr>
      </w:pPr>
    </w:p>
    <w:p>
      <w:pPr>
        <w:ind w:right="1" w:firstLine="480"/>
        <w:rPr>
          <w:bCs/>
          <w:sz w:val="24"/>
          <w:szCs w:val="24"/>
        </w:rPr>
      </w:pPr>
      <w:r>
        <w:rPr>
          <w:rFonts w:hint="eastAsia"/>
          <w:bCs/>
          <w:sz w:val="24"/>
          <w:szCs w:val="24"/>
        </w:rPr>
        <w:t>委托方：                       受托方：</w:t>
      </w:r>
    </w:p>
    <w:p>
      <w:pPr>
        <w:ind w:right="1" w:firstLine="480"/>
        <w:rPr>
          <w:bCs/>
          <w:sz w:val="24"/>
          <w:szCs w:val="24"/>
        </w:rPr>
      </w:pPr>
      <w:r>
        <w:rPr>
          <w:rFonts w:hint="eastAsia"/>
          <w:bCs/>
          <w:sz w:val="24"/>
          <w:szCs w:val="24"/>
        </w:rPr>
        <w:t xml:space="preserve">       </w:t>
      </w:r>
    </w:p>
    <w:p>
      <w:pPr>
        <w:ind w:right="1" w:firstLine="480"/>
        <w:rPr>
          <w:bCs/>
          <w:sz w:val="24"/>
          <w:szCs w:val="24"/>
        </w:rPr>
      </w:pPr>
      <w:r>
        <w:rPr>
          <w:rFonts w:hint="eastAsia"/>
          <w:bCs/>
          <w:sz w:val="24"/>
          <w:szCs w:val="24"/>
        </w:rPr>
        <w:t>负责人（签字）                 负责人（签字）</w:t>
      </w:r>
    </w:p>
    <w:p>
      <w:pPr>
        <w:ind w:right="1" w:firstLine="480"/>
        <w:rPr>
          <w:bCs/>
          <w:sz w:val="24"/>
          <w:szCs w:val="24"/>
        </w:rPr>
      </w:pPr>
    </w:p>
    <w:p>
      <w:pPr>
        <w:ind w:right="1" w:firstLine="480"/>
        <w:rPr>
          <w:bCs/>
          <w:sz w:val="24"/>
          <w:szCs w:val="24"/>
        </w:rPr>
      </w:pPr>
      <w:r>
        <w:rPr>
          <w:rFonts w:hint="eastAsia"/>
          <w:bCs/>
          <w:sz w:val="24"/>
          <w:szCs w:val="24"/>
        </w:rPr>
        <w:t>年   月   日                    年   月   日</w:t>
      </w:r>
    </w:p>
    <w:p>
      <w:pPr>
        <w:jc w:val="center"/>
        <w:outlineLvl w:val="0"/>
        <w:rPr>
          <w:rFonts w:ascii="Times New Roman" w:hAnsi="Times New Roman"/>
          <w:b/>
          <w:kern w:val="2"/>
          <w:sz w:val="44"/>
          <w:szCs w:val="44"/>
        </w:rPr>
      </w:pPr>
      <w:bookmarkStart w:id="8" w:name="_GoBack"/>
      <w:bookmarkEnd w:id="8"/>
      <w:r>
        <w:rPr>
          <w:rFonts w:hint="eastAsia" w:ascii="楷体_GB2312" w:eastAsia="楷体_GB2312"/>
          <w:b/>
          <w:sz w:val="44"/>
        </w:rPr>
        <w:t>第五部分　投标文件格式</w:t>
      </w:r>
      <w:bookmarkEnd w:id="7"/>
    </w:p>
    <w:p>
      <w:pPr>
        <w:tabs>
          <w:tab w:val="left" w:pos="897"/>
          <w:tab w:val="left" w:pos="1080"/>
          <w:tab w:val="left" w:pos="1350"/>
        </w:tabs>
        <w:spacing w:before="100" w:beforeAutospacing="1" w:after="100" w:afterAutospacing="1"/>
        <w:ind w:firstLine="596" w:firstLineChars="198"/>
        <w:rPr>
          <w:rFonts w:ascii="Times New Roman" w:hAnsi="Times New Roman"/>
          <w:b/>
          <w:kern w:val="2"/>
          <w:sz w:val="30"/>
          <w:szCs w:val="30"/>
        </w:rPr>
      </w:pPr>
      <w:r>
        <w:rPr>
          <w:rFonts w:hint="eastAsia" w:ascii="Times New Roman" w:hAnsi="Times New Roman"/>
          <w:b/>
          <w:kern w:val="2"/>
          <w:sz w:val="30"/>
          <w:szCs w:val="30"/>
        </w:rPr>
        <w:t>（投标人按照以下内容及格式制作投标文件，并对其提交的投标文件的真实性、有效性、合法性承担法律责任。）</w:t>
      </w:r>
    </w:p>
    <w:p>
      <w:pPr>
        <w:widowControl/>
        <w:jc w:val="left"/>
        <w:rPr>
          <w:rFonts w:ascii="楷体_GB2312" w:eastAsia="楷体_GB2312" w:cs="宋体"/>
          <w:b/>
          <w:bCs/>
          <w:sz w:val="36"/>
          <w:szCs w:val="36"/>
        </w:rPr>
      </w:pPr>
      <w:r>
        <w:rPr>
          <w:rFonts w:cs="宋体"/>
          <w:b/>
          <w:bCs/>
          <w:sz w:val="24"/>
          <w:szCs w:val="24"/>
        </w:rPr>
        <w:br w:type="page"/>
      </w:r>
    </w:p>
    <w:p>
      <w:pPr>
        <w:pStyle w:val="3"/>
        <w:rPr>
          <w:rFonts w:ascii="宋体" w:hAnsi="宋体"/>
          <w:bCs/>
          <w:sz w:val="32"/>
          <w:szCs w:val="32"/>
        </w:rPr>
      </w:pPr>
      <w:r>
        <w:rPr>
          <w:rFonts w:hint="eastAsia" w:ascii="宋体" w:hAnsi="宋体"/>
          <w:bCs/>
          <w:sz w:val="32"/>
          <w:szCs w:val="32"/>
        </w:rPr>
        <w:t>封面格式</w:t>
      </w:r>
    </w:p>
    <w:p>
      <w:pPr>
        <w:widowControl/>
        <w:spacing w:line="360" w:lineRule="auto"/>
        <w:rPr>
          <w:rFonts w:cs="宋体"/>
          <w:b/>
          <w:bCs/>
          <w:sz w:val="72"/>
          <w:szCs w:val="72"/>
        </w:rPr>
      </w:pPr>
      <w:r>
        <w:rPr>
          <w:rFonts w:hint="eastAsia"/>
          <w:b/>
          <w:sz w:val="36"/>
        </w:rPr>
        <w:t xml:space="preserve">采购项目编号：                 </w:t>
      </w:r>
      <w:r>
        <w:rPr>
          <w:rFonts w:hint="eastAsia" w:ascii="楷体_GB2312" w:eastAsia="楷体_GB2312"/>
          <w:b/>
          <w:bCs/>
          <w:sz w:val="32"/>
          <w:szCs w:val="32"/>
        </w:rPr>
        <w:t xml:space="preserve"> </w:t>
      </w:r>
      <w:r>
        <w:rPr>
          <w:rFonts w:hint="eastAsia" w:ascii="楷体_GB2312" w:eastAsia="楷体_GB2312"/>
          <w:b/>
          <w:bCs/>
          <w:sz w:val="36"/>
          <w:szCs w:val="36"/>
        </w:rPr>
        <w:t xml:space="preserve">          </w:t>
      </w:r>
    </w:p>
    <w:p>
      <w:pPr>
        <w:widowControl/>
        <w:spacing w:line="520" w:lineRule="atLeast"/>
        <w:rPr>
          <w:b/>
          <w:sz w:val="36"/>
        </w:rPr>
      </w:pPr>
      <w:r>
        <w:rPr>
          <w:rFonts w:hint="eastAsia"/>
          <w:b/>
          <w:sz w:val="36"/>
        </w:rPr>
        <w:t>采购项目名称：</w:t>
      </w:r>
    </w:p>
    <w:p>
      <w:pPr>
        <w:rPr>
          <w:sz w:val="32"/>
          <w:szCs w:val="32"/>
        </w:rPr>
      </w:pPr>
    </w:p>
    <w:p>
      <w:pPr>
        <w:widowControl/>
        <w:spacing w:line="520" w:lineRule="atLeast"/>
        <w:jc w:val="center"/>
        <w:rPr>
          <w:rFonts w:cs="宋体"/>
          <w:b/>
          <w:sz w:val="84"/>
          <w:szCs w:val="84"/>
        </w:rPr>
      </w:pPr>
      <w:r>
        <w:rPr>
          <w:rFonts w:hint="eastAsia" w:cs="宋体"/>
          <w:b/>
          <w:sz w:val="84"/>
          <w:szCs w:val="84"/>
        </w:rPr>
        <w:t>投 标 文 件</w:t>
      </w:r>
    </w:p>
    <w:p>
      <w:pPr>
        <w:widowControl/>
        <w:spacing w:line="520" w:lineRule="atLeast"/>
        <w:jc w:val="center"/>
        <w:rPr>
          <w:rFonts w:cs="宋体"/>
          <w:sz w:val="32"/>
          <w:szCs w:val="32"/>
        </w:rPr>
      </w:pPr>
      <w:r>
        <w:rPr>
          <w:rFonts w:hint="eastAsia" w:cs="宋体"/>
          <w:sz w:val="72"/>
          <w:szCs w:val="72"/>
        </w:rPr>
        <w:t>（正本/副本）</w:t>
      </w:r>
    </w:p>
    <w:p>
      <w:pPr>
        <w:widowControl/>
        <w:spacing w:line="520" w:lineRule="atLeast"/>
        <w:rPr>
          <w:rFonts w:cs="宋体"/>
          <w:sz w:val="24"/>
          <w:szCs w:val="24"/>
        </w:rPr>
      </w:pPr>
    </w:p>
    <w:p>
      <w:pPr>
        <w:widowControl/>
        <w:spacing w:line="520" w:lineRule="atLeast"/>
        <w:rPr>
          <w:rFonts w:cs="宋体"/>
          <w:sz w:val="24"/>
          <w:szCs w:val="24"/>
        </w:rPr>
      </w:pPr>
      <w:r>
        <w:rPr>
          <w:rFonts w:hint="eastAsia" w:cs="宋体"/>
          <w:sz w:val="24"/>
          <w:szCs w:val="24"/>
        </w:rPr>
        <w:t xml:space="preserve"> </w:t>
      </w:r>
    </w:p>
    <w:p>
      <w:pPr>
        <w:widowControl/>
        <w:spacing w:line="520" w:lineRule="atLeast"/>
        <w:rPr>
          <w:rFonts w:cs="宋体"/>
          <w:sz w:val="24"/>
          <w:szCs w:val="24"/>
        </w:rPr>
      </w:pPr>
      <w:r>
        <w:rPr>
          <w:rFonts w:hint="eastAsia" w:cs="宋体"/>
          <w:sz w:val="24"/>
          <w:szCs w:val="24"/>
        </w:rPr>
        <w:t xml:space="preserve"> </w:t>
      </w:r>
    </w:p>
    <w:p>
      <w:pPr>
        <w:pStyle w:val="51"/>
      </w:pPr>
    </w:p>
    <w:p/>
    <w:p/>
    <w:p>
      <w:pPr>
        <w:widowControl/>
        <w:spacing w:line="520" w:lineRule="atLeast"/>
        <w:rPr>
          <w:rFonts w:cs="宋体"/>
          <w:sz w:val="24"/>
          <w:szCs w:val="24"/>
        </w:rPr>
      </w:pPr>
    </w:p>
    <w:p>
      <w:pPr>
        <w:widowControl/>
        <w:spacing w:line="520" w:lineRule="atLeast"/>
        <w:rPr>
          <w:rFonts w:cs="宋体"/>
          <w:sz w:val="36"/>
          <w:szCs w:val="36"/>
        </w:rPr>
      </w:pPr>
    </w:p>
    <w:p>
      <w:pPr>
        <w:widowControl/>
        <w:spacing w:line="360" w:lineRule="auto"/>
        <w:ind w:firstLine="1807" w:firstLineChars="500"/>
        <w:jc w:val="left"/>
        <w:rPr>
          <w:rFonts w:cs="宋体"/>
          <w:b/>
          <w:sz w:val="36"/>
          <w:szCs w:val="36"/>
        </w:rPr>
      </w:pPr>
      <w:r>
        <w:rPr>
          <w:rFonts w:hint="eastAsia" w:cs="宋体"/>
          <w:b/>
          <w:sz w:val="36"/>
          <w:szCs w:val="36"/>
        </w:rPr>
        <w:t>投标人（全称）：（签章）</w:t>
      </w:r>
    </w:p>
    <w:p>
      <w:pPr>
        <w:widowControl/>
        <w:spacing w:line="360" w:lineRule="auto"/>
        <w:jc w:val="center"/>
        <w:rPr>
          <w:rFonts w:cs="宋体"/>
          <w:b/>
          <w:sz w:val="36"/>
          <w:szCs w:val="36"/>
        </w:rPr>
      </w:pPr>
      <w:r>
        <w:rPr>
          <w:rFonts w:hint="eastAsia" w:cs="宋体"/>
          <w:b/>
          <w:sz w:val="36"/>
          <w:szCs w:val="36"/>
        </w:rPr>
        <w:t>法定代表人（负责人）或授权委托人：（签名或签章）</w:t>
      </w:r>
    </w:p>
    <w:p>
      <w:pPr>
        <w:widowControl/>
        <w:spacing w:line="360" w:lineRule="auto"/>
        <w:ind w:firstLine="2168" w:firstLineChars="600"/>
        <w:jc w:val="left"/>
        <w:rPr>
          <w:rFonts w:cs="宋体"/>
          <w:b/>
          <w:sz w:val="36"/>
          <w:szCs w:val="36"/>
        </w:rPr>
      </w:pPr>
      <w:r>
        <w:rPr>
          <w:rFonts w:hint="eastAsia" w:cs="宋体"/>
          <w:b/>
          <w:sz w:val="36"/>
          <w:szCs w:val="36"/>
          <w:u w:val="single"/>
        </w:rPr>
        <w:t xml:space="preserve">        </w:t>
      </w:r>
      <w:r>
        <w:rPr>
          <w:rFonts w:hint="eastAsia" w:cs="宋体"/>
          <w:b/>
          <w:sz w:val="36"/>
          <w:szCs w:val="36"/>
        </w:rPr>
        <w:t>年</w:t>
      </w:r>
      <w:r>
        <w:rPr>
          <w:rFonts w:hint="eastAsia" w:cs="宋体"/>
          <w:b/>
          <w:sz w:val="36"/>
          <w:szCs w:val="36"/>
          <w:u w:val="single"/>
        </w:rPr>
        <w:t xml:space="preserve">        </w:t>
      </w:r>
      <w:r>
        <w:rPr>
          <w:rFonts w:hint="eastAsia" w:cs="宋体"/>
          <w:b/>
          <w:sz w:val="36"/>
          <w:szCs w:val="36"/>
        </w:rPr>
        <w:t>月</w:t>
      </w:r>
      <w:r>
        <w:rPr>
          <w:rFonts w:hint="eastAsia" w:cs="宋体"/>
          <w:b/>
          <w:sz w:val="36"/>
          <w:szCs w:val="36"/>
          <w:u w:val="single"/>
        </w:rPr>
        <w:t xml:space="preserve">        </w:t>
      </w:r>
      <w:r>
        <w:rPr>
          <w:rFonts w:hint="eastAsia" w:cs="宋体"/>
          <w:b/>
          <w:sz w:val="36"/>
          <w:szCs w:val="36"/>
        </w:rPr>
        <w:t>日</w:t>
      </w:r>
    </w:p>
    <w:p>
      <w:pPr>
        <w:widowControl/>
        <w:jc w:val="left"/>
        <w:rPr>
          <w:rFonts w:ascii="Times New Roman" w:hAnsi="Times New Roman" w:cs="宋体"/>
          <w:b/>
          <w:bCs/>
          <w:sz w:val="48"/>
          <w:szCs w:val="48"/>
        </w:rPr>
      </w:pPr>
      <w:r>
        <w:rPr>
          <w:b/>
          <w:bCs/>
          <w:sz w:val="48"/>
          <w:szCs w:val="48"/>
        </w:rPr>
        <w:br w:type="page"/>
      </w:r>
    </w:p>
    <w:p>
      <w:pPr>
        <w:widowControl/>
        <w:spacing w:line="360" w:lineRule="auto"/>
        <w:jc w:val="center"/>
        <w:outlineLvl w:val="1"/>
        <w:rPr>
          <w:rFonts w:cs="宋体"/>
          <w:b/>
          <w:bCs/>
          <w:sz w:val="32"/>
          <w:szCs w:val="32"/>
        </w:rPr>
      </w:pPr>
      <w:r>
        <w:rPr>
          <w:rFonts w:hint="eastAsia" w:cs="宋体"/>
          <w:b/>
          <w:bCs/>
          <w:sz w:val="32"/>
          <w:szCs w:val="32"/>
        </w:rPr>
        <w:t>目  录</w:t>
      </w:r>
    </w:p>
    <w:p>
      <w:pPr>
        <w:pStyle w:val="37"/>
        <w:snapToGrid w:val="0"/>
        <w:spacing w:line="360" w:lineRule="auto"/>
        <w:ind w:firstLine="480" w:firstLineChars="200"/>
        <w:rPr>
          <w:rFonts w:cs="Times New Roman"/>
          <w:bCs/>
          <w:sz w:val="24"/>
          <w:szCs w:val="24"/>
        </w:rPr>
      </w:pPr>
      <w:r>
        <w:rPr>
          <w:rFonts w:cs="Times New Roman"/>
          <w:bCs/>
          <w:sz w:val="24"/>
          <w:szCs w:val="24"/>
        </w:rPr>
        <w:t>1</w:t>
      </w:r>
      <w:r>
        <w:rPr>
          <w:rFonts w:hint="eastAsia" w:cs="Times New Roman"/>
          <w:bCs/>
          <w:sz w:val="24"/>
          <w:szCs w:val="24"/>
        </w:rPr>
        <w:t>.</w:t>
      </w:r>
      <w:r>
        <w:rPr>
          <w:rFonts w:cs="Times New Roman"/>
          <w:bCs/>
          <w:sz w:val="24"/>
          <w:szCs w:val="24"/>
        </w:rPr>
        <w:t>承诺</w:t>
      </w:r>
      <w:r>
        <w:rPr>
          <w:rFonts w:hint="eastAsia" w:cs="Times New Roman"/>
          <w:bCs/>
          <w:sz w:val="24"/>
          <w:szCs w:val="24"/>
        </w:rPr>
        <w:t>函</w:t>
      </w:r>
    </w:p>
    <w:p>
      <w:pPr>
        <w:pStyle w:val="37"/>
        <w:snapToGrid w:val="0"/>
        <w:spacing w:line="360" w:lineRule="auto"/>
        <w:ind w:firstLine="480" w:firstLineChars="200"/>
        <w:rPr>
          <w:rFonts w:cs="Times New Roman"/>
          <w:bCs/>
          <w:sz w:val="24"/>
          <w:szCs w:val="24"/>
        </w:rPr>
      </w:pPr>
      <w:r>
        <w:rPr>
          <w:rFonts w:cs="Times New Roman"/>
          <w:bCs/>
          <w:sz w:val="24"/>
          <w:szCs w:val="24"/>
        </w:rPr>
        <w:t>2</w:t>
      </w:r>
      <w:r>
        <w:rPr>
          <w:rFonts w:hint="eastAsia" w:cs="Times New Roman"/>
          <w:bCs/>
          <w:sz w:val="24"/>
          <w:szCs w:val="24"/>
        </w:rPr>
        <w:t>.</w:t>
      </w:r>
      <w:r>
        <w:rPr>
          <w:rFonts w:cs="Times New Roman"/>
          <w:bCs/>
          <w:sz w:val="24"/>
          <w:szCs w:val="24"/>
        </w:rPr>
        <w:t>法人或者其他组织的营业执照等证明文件，自然人的身份证明</w:t>
      </w:r>
    </w:p>
    <w:p>
      <w:pPr>
        <w:pStyle w:val="37"/>
        <w:snapToGrid w:val="0"/>
        <w:spacing w:line="360" w:lineRule="auto"/>
        <w:ind w:firstLine="480" w:firstLineChars="200"/>
        <w:rPr>
          <w:rFonts w:cs="Times New Roman"/>
          <w:bCs/>
          <w:sz w:val="24"/>
          <w:szCs w:val="24"/>
        </w:rPr>
      </w:pPr>
      <w:r>
        <w:rPr>
          <w:rFonts w:cs="Times New Roman"/>
          <w:bCs/>
          <w:sz w:val="24"/>
          <w:szCs w:val="24"/>
        </w:rPr>
        <w:t>3</w:t>
      </w:r>
      <w:r>
        <w:rPr>
          <w:rFonts w:hint="eastAsia" w:cs="Times New Roman"/>
          <w:bCs/>
          <w:sz w:val="24"/>
          <w:szCs w:val="24"/>
        </w:rPr>
        <w:t>.</w:t>
      </w:r>
      <w:r>
        <w:rPr>
          <w:rFonts w:cs="Times New Roman"/>
          <w:bCs/>
          <w:sz w:val="24"/>
          <w:szCs w:val="24"/>
        </w:rPr>
        <w:t>财务状况报告、依法缴纳税收和社会保障资金的相关材料</w:t>
      </w:r>
    </w:p>
    <w:p>
      <w:pPr>
        <w:pStyle w:val="37"/>
        <w:snapToGrid w:val="0"/>
        <w:spacing w:line="360" w:lineRule="auto"/>
        <w:ind w:firstLine="480" w:firstLineChars="200"/>
        <w:rPr>
          <w:rFonts w:cs="Times New Roman"/>
          <w:bCs/>
          <w:sz w:val="24"/>
          <w:szCs w:val="24"/>
        </w:rPr>
      </w:pPr>
      <w:r>
        <w:rPr>
          <w:rFonts w:cs="Times New Roman"/>
          <w:bCs/>
          <w:sz w:val="24"/>
          <w:szCs w:val="24"/>
        </w:rPr>
        <w:t>4</w:t>
      </w:r>
      <w:r>
        <w:rPr>
          <w:rFonts w:hint="eastAsia" w:cs="Times New Roman"/>
          <w:bCs/>
          <w:sz w:val="24"/>
          <w:szCs w:val="24"/>
        </w:rPr>
        <w:t>.</w:t>
      </w:r>
      <w:r>
        <w:rPr>
          <w:rFonts w:cs="Times New Roman"/>
          <w:bCs/>
          <w:sz w:val="24"/>
          <w:szCs w:val="24"/>
        </w:rPr>
        <w:t>履行合同所必需的设备和专业技术能力的证明材料</w:t>
      </w:r>
    </w:p>
    <w:p>
      <w:pPr>
        <w:pStyle w:val="37"/>
        <w:snapToGrid w:val="0"/>
        <w:spacing w:line="360" w:lineRule="auto"/>
        <w:ind w:firstLine="480" w:firstLineChars="200"/>
        <w:rPr>
          <w:rFonts w:cs="Times New Roman"/>
          <w:bCs/>
          <w:sz w:val="24"/>
          <w:szCs w:val="24"/>
        </w:rPr>
      </w:pPr>
      <w:r>
        <w:rPr>
          <w:rFonts w:cs="Times New Roman"/>
          <w:bCs/>
          <w:sz w:val="24"/>
          <w:szCs w:val="24"/>
        </w:rPr>
        <w:t>5</w:t>
      </w:r>
      <w:r>
        <w:rPr>
          <w:rFonts w:hint="eastAsia" w:cs="Times New Roman"/>
          <w:bCs/>
          <w:sz w:val="24"/>
          <w:szCs w:val="24"/>
        </w:rPr>
        <w:t>.</w:t>
      </w:r>
      <w:r>
        <w:rPr>
          <w:rFonts w:cs="Times New Roman"/>
          <w:bCs/>
          <w:sz w:val="24"/>
          <w:szCs w:val="24"/>
        </w:rPr>
        <w:t>具备法律、行政法规规定的其他条件的证明材料</w:t>
      </w:r>
    </w:p>
    <w:p>
      <w:pPr>
        <w:pStyle w:val="37"/>
        <w:snapToGrid w:val="0"/>
        <w:spacing w:line="360" w:lineRule="auto"/>
        <w:ind w:firstLine="480" w:firstLineChars="200"/>
        <w:rPr>
          <w:rFonts w:cs="Times New Roman"/>
          <w:bCs/>
          <w:sz w:val="24"/>
          <w:szCs w:val="24"/>
        </w:rPr>
      </w:pPr>
      <w:r>
        <w:rPr>
          <w:rFonts w:hint="eastAsia" w:cs="Times New Roman"/>
          <w:bCs/>
          <w:sz w:val="24"/>
          <w:szCs w:val="24"/>
        </w:rPr>
        <w:t>6.无重大违法记录的声明</w:t>
      </w:r>
    </w:p>
    <w:p>
      <w:pPr>
        <w:pStyle w:val="37"/>
        <w:snapToGrid w:val="0"/>
        <w:spacing w:line="360" w:lineRule="auto"/>
        <w:ind w:firstLine="480" w:firstLineChars="200"/>
        <w:rPr>
          <w:rFonts w:cs="Times New Roman"/>
          <w:bCs/>
          <w:sz w:val="24"/>
          <w:szCs w:val="24"/>
        </w:rPr>
      </w:pPr>
      <w:r>
        <w:rPr>
          <w:rFonts w:hint="eastAsia" w:cs="Times New Roman"/>
          <w:bCs/>
          <w:sz w:val="24"/>
          <w:szCs w:val="24"/>
        </w:rPr>
        <w:t>7.法定代表人（负责人）证明（如为授权委托人，还须提供授权委托书）</w:t>
      </w:r>
    </w:p>
    <w:p>
      <w:pPr>
        <w:pStyle w:val="37"/>
        <w:snapToGrid w:val="0"/>
        <w:spacing w:line="360" w:lineRule="auto"/>
        <w:ind w:firstLine="480" w:firstLineChars="200"/>
        <w:rPr>
          <w:rFonts w:cs="Times New Roman"/>
          <w:bCs/>
          <w:sz w:val="24"/>
          <w:szCs w:val="24"/>
        </w:rPr>
      </w:pPr>
      <w:r>
        <w:rPr>
          <w:rFonts w:hint="eastAsia" w:cs="Times New Roman"/>
          <w:bCs/>
          <w:sz w:val="24"/>
          <w:szCs w:val="24"/>
        </w:rPr>
        <w:t>8.近三年同类项目经验案例</w:t>
      </w:r>
    </w:p>
    <w:p>
      <w:pPr>
        <w:pStyle w:val="37"/>
        <w:snapToGrid w:val="0"/>
        <w:spacing w:line="360" w:lineRule="auto"/>
        <w:ind w:firstLine="480" w:firstLineChars="200"/>
        <w:rPr>
          <w:rFonts w:cs="Times New Roman"/>
          <w:bCs/>
          <w:sz w:val="24"/>
          <w:szCs w:val="24"/>
        </w:rPr>
      </w:pPr>
      <w:r>
        <w:rPr>
          <w:rFonts w:hint="eastAsia" w:cs="Times New Roman"/>
          <w:bCs/>
          <w:sz w:val="24"/>
          <w:szCs w:val="24"/>
        </w:rPr>
        <w:t>9.主要人员情况汇总表</w:t>
      </w:r>
    </w:p>
    <w:p>
      <w:pPr>
        <w:pStyle w:val="37"/>
        <w:snapToGrid w:val="0"/>
        <w:spacing w:line="360" w:lineRule="auto"/>
        <w:ind w:firstLine="480" w:firstLineChars="200"/>
        <w:rPr>
          <w:rFonts w:cs="Times New Roman"/>
          <w:bCs/>
          <w:sz w:val="24"/>
          <w:szCs w:val="24"/>
        </w:rPr>
      </w:pPr>
      <w:r>
        <w:rPr>
          <w:rFonts w:hint="eastAsia" w:cs="Times New Roman"/>
          <w:bCs/>
          <w:sz w:val="24"/>
          <w:szCs w:val="24"/>
        </w:rPr>
        <w:t>10.主要人员基本情况表</w:t>
      </w:r>
    </w:p>
    <w:p>
      <w:pPr>
        <w:pStyle w:val="37"/>
        <w:snapToGrid w:val="0"/>
        <w:spacing w:line="360" w:lineRule="auto"/>
        <w:ind w:firstLine="480" w:firstLineChars="200"/>
        <w:rPr>
          <w:rFonts w:cs="Times New Roman"/>
          <w:bCs/>
          <w:sz w:val="24"/>
          <w:szCs w:val="24"/>
        </w:rPr>
      </w:pPr>
      <w:r>
        <w:rPr>
          <w:rFonts w:hint="eastAsia" w:cs="Times New Roman"/>
          <w:bCs/>
          <w:sz w:val="24"/>
          <w:szCs w:val="24"/>
        </w:rPr>
        <w:t>11.服务质量承诺</w:t>
      </w:r>
    </w:p>
    <w:p>
      <w:pPr>
        <w:pStyle w:val="37"/>
        <w:snapToGrid w:val="0"/>
        <w:spacing w:line="360" w:lineRule="auto"/>
        <w:ind w:firstLine="480" w:firstLineChars="200"/>
        <w:rPr>
          <w:rFonts w:cs="Times New Roman"/>
          <w:bCs/>
          <w:sz w:val="24"/>
          <w:szCs w:val="24"/>
        </w:rPr>
      </w:pPr>
      <w:r>
        <w:rPr>
          <w:rFonts w:hint="eastAsia" w:cs="Times New Roman"/>
          <w:bCs/>
          <w:sz w:val="24"/>
          <w:szCs w:val="24"/>
        </w:rPr>
        <w:t>12.投标人</w:t>
      </w:r>
      <w:r>
        <w:rPr>
          <w:rFonts w:cs="Times New Roman"/>
          <w:bCs/>
          <w:sz w:val="24"/>
          <w:szCs w:val="24"/>
        </w:rPr>
        <w:t>认为有必要提供的其他</w:t>
      </w:r>
      <w:r>
        <w:rPr>
          <w:rFonts w:hint="eastAsia" w:cs="Times New Roman"/>
          <w:bCs/>
          <w:sz w:val="24"/>
          <w:szCs w:val="24"/>
        </w:rPr>
        <w:t>资料（若有的话需要提供否则不用提供）。</w:t>
      </w:r>
    </w:p>
    <w:p>
      <w:pPr>
        <w:pStyle w:val="37"/>
        <w:snapToGrid w:val="0"/>
        <w:spacing w:line="360" w:lineRule="auto"/>
        <w:ind w:firstLine="480" w:firstLineChars="200"/>
        <w:rPr>
          <w:bCs/>
          <w:sz w:val="24"/>
          <w:szCs w:val="24"/>
        </w:rPr>
      </w:pPr>
    </w:p>
    <w:p>
      <w:pPr>
        <w:widowControl/>
        <w:jc w:val="left"/>
        <w:rPr>
          <w:b/>
          <w:bCs/>
        </w:rPr>
      </w:pPr>
      <w:r>
        <w:rPr>
          <w:b/>
          <w:bCs/>
        </w:rPr>
        <w:br w:type="page"/>
      </w:r>
    </w:p>
    <w:p>
      <w:pPr>
        <w:jc w:val="center"/>
        <w:rPr>
          <w:rFonts w:cs="宋体"/>
          <w:b/>
          <w:bCs/>
          <w:sz w:val="32"/>
          <w:szCs w:val="32"/>
        </w:rPr>
      </w:pPr>
      <w:r>
        <w:rPr>
          <w:rFonts w:hint="eastAsia" w:cs="宋体"/>
          <w:b/>
          <w:bCs/>
          <w:sz w:val="32"/>
          <w:szCs w:val="32"/>
        </w:rPr>
        <w:t>一、承诺函</w:t>
      </w:r>
    </w:p>
    <w:p>
      <w:pPr>
        <w:snapToGrid w:val="0"/>
        <w:spacing w:line="360" w:lineRule="auto"/>
        <w:jc w:val="left"/>
        <w:rPr>
          <w:sz w:val="24"/>
          <w:szCs w:val="24"/>
        </w:rPr>
      </w:pPr>
      <w:r>
        <w:rPr>
          <w:rFonts w:hint="eastAsia"/>
          <w:sz w:val="24"/>
          <w:szCs w:val="24"/>
        </w:rPr>
        <w:t>唐山市科学技术协会：</w:t>
      </w:r>
    </w:p>
    <w:p>
      <w:pPr>
        <w:tabs>
          <w:tab w:val="left" w:pos="0"/>
        </w:tabs>
        <w:snapToGrid w:val="0"/>
        <w:spacing w:line="360" w:lineRule="auto"/>
        <w:ind w:firstLine="480" w:firstLineChars="200"/>
        <w:rPr>
          <w:sz w:val="24"/>
          <w:szCs w:val="24"/>
        </w:rPr>
      </w:pPr>
      <w:r>
        <w:rPr>
          <w:rFonts w:hint="eastAsia"/>
          <w:sz w:val="24"/>
          <w:szCs w:val="24"/>
        </w:rPr>
        <w:t>我方</w:t>
      </w:r>
      <w:r>
        <w:rPr>
          <w:rFonts w:hint="eastAsia"/>
          <w:sz w:val="24"/>
          <w:szCs w:val="24"/>
          <w:u w:val="single"/>
        </w:rPr>
        <w:t>（投标人全称）</w:t>
      </w:r>
      <w:r>
        <w:rPr>
          <w:sz w:val="24"/>
        </w:rPr>
        <w:t>已详细</w:t>
      </w:r>
      <w:r>
        <w:rPr>
          <w:rFonts w:hint="eastAsia"/>
          <w:sz w:val="24"/>
        </w:rPr>
        <w:t>阅读了贵方关于</w:t>
      </w:r>
      <w:r>
        <w:rPr>
          <w:rFonts w:hint="eastAsia"/>
          <w:sz w:val="24"/>
          <w:u w:val="single"/>
        </w:rPr>
        <w:t>（项目名称）</w:t>
      </w:r>
      <w:r>
        <w:rPr>
          <w:rFonts w:hint="eastAsia"/>
          <w:sz w:val="24"/>
        </w:rPr>
        <w:t>采购项目</w:t>
      </w:r>
      <w:r>
        <w:rPr>
          <w:rFonts w:hint="eastAsia"/>
          <w:sz w:val="24"/>
          <w:u w:val="single"/>
        </w:rPr>
        <w:t>（项目编号：）</w:t>
      </w:r>
      <w:r>
        <w:rPr>
          <w:rFonts w:hint="eastAsia"/>
          <w:sz w:val="24"/>
        </w:rPr>
        <w:t>招标</w:t>
      </w:r>
      <w:r>
        <w:rPr>
          <w:sz w:val="24"/>
        </w:rPr>
        <w:t>文件的全部</w:t>
      </w:r>
      <w:r>
        <w:rPr>
          <w:rFonts w:hint="eastAsia"/>
          <w:sz w:val="24"/>
        </w:rPr>
        <w:t>内容，决定接受此招标文件的全部要求并</w:t>
      </w:r>
      <w:r>
        <w:rPr>
          <w:sz w:val="24"/>
          <w:szCs w:val="24"/>
        </w:rPr>
        <w:t>授权</w:t>
      </w:r>
      <w:r>
        <w:rPr>
          <w:rFonts w:hint="eastAsia"/>
          <w:sz w:val="24"/>
          <w:szCs w:val="24"/>
          <w:u w:val="single"/>
        </w:rPr>
        <w:t>（姓名）（职务）</w:t>
      </w:r>
      <w:r>
        <w:rPr>
          <w:sz w:val="24"/>
          <w:szCs w:val="24"/>
        </w:rPr>
        <w:t>为</w:t>
      </w:r>
      <w:r>
        <w:rPr>
          <w:rFonts w:hint="eastAsia"/>
          <w:sz w:val="24"/>
          <w:szCs w:val="24"/>
        </w:rPr>
        <w:t>我方的</w:t>
      </w:r>
      <w:r>
        <w:rPr>
          <w:sz w:val="24"/>
          <w:szCs w:val="24"/>
        </w:rPr>
        <w:t>全权代表参加</w:t>
      </w:r>
      <w:r>
        <w:rPr>
          <w:rFonts w:hint="eastAsia"/>
          <w:sz w:val="24"/>
          <w:szCs w:val="24"/>
        </w:rPr>
        <w:t>本次的招标活动并投标。</w:t>
      </w:r>
    </w:p>
    <w:p>
      <w:pPr>
        <w:snapToGrid w:val="0"/>
        <w:spacing w:line="360" w:lineRule="auto"/>
        <w:ind w:firstLine="480" w:firstLineChars="200"/>
        <w:jc w:val="left"/>
        <w:rPr>
          <w:sz w:val="24"/>
          <w:szCs w:val="24"/>
        </w:rPr>
      </w:pPr>
      <w:r>
        <w:rPr>
          <w:rFonts w:hint="eastAsia"/>
          <w:sz w:val="24"/>
          <w:szCs w:val="24"/>
        </w:rPr>
        <w:t>据此我方郑重声明以下诸点并对之负法律责任：</w:t>
      </w:r>
    </w:p>
    <w:p>
      <w:pPr>
        <w:snapToGrid w:val="0"/>
        <w:spacing w:line="360" w:lineRule="auto"/>
        <w:ind w:firstLine="480" w:firstLineChars="200"/>
        <w:jc w:val="left"/>
        <w:rPr>
          <w:sz w:val="24"/>
        </w:rPr>
      </w:pPr>
      <w:r>
        <w:rPr>
          <w:rFonts w:hint="eastAsia"/>
          <w:sz w:val="24"/>
          <w:szCs w:val="24"/>
        </w:rPr>
        <w:t>1.</w:t>
      </w:r>
      <w:r>
        <w:rPr>
          <w:sz w:val="24"/>
        </w:rPr>
        <w:t>我方已详细</w:t>
      </w:r>
      <w:r>
        <w:rPr>
          <w:rFonts w:hint="eastAsia"/>
          <w:sz w:val="24"/>
        </w:rPr>
        <w:t>阅读了招标</w:t>
      </w:r>
      <w:r>
        <w:rPr>
          <w:sz w:val="24"/>
        </w:rPr>
        <w:t>文件</w:t>
      </w:r>
      <w:r>
        <w:rPr>
          <w:rFonts w:hint="eastAsia"/>
          <w:sz w:val="24"/>
        </w:rPr>
        <w:t>的</w:t>
      </w:r>
      <w:r>
        <w:rPr>
          <w:sz w:val="24"/>
        </w:rPr>
        <w:t>全部</w:t>
      </w:r>
      <w:r>
        <w:rPr>
          <w:rFonts w:hint="eastAsia"/>
          <w:sz w:val="24"/>
        </w:rPr>
        <w:t>内容</w:t>
      </w:r>
      <w:r>
        <w:rPr>
          <w:sz w:val="24"/>
        </w:rPr>
        <w:t>并同意其规定，包括修改文件（如有的话）以及全部参考资料和有关附件</w:t>
      </w:r>
      <w:r>
        <w:rPr>
          <w:rFonts w:hint="eastAsia"/>
          <w:sz w:val="24"/>
        </w:rPr>
        <w:t>，</w:t>
      </w:r>
      <w:r>
        <w:rPr>
          <w:sz w:val="24"/>
        </w:rPr>
        <w:t>我方</w:t>
      </w:r>
      <w:r>
        <w:rPr>
          <w:rFonts w:hint="eastAsia"/>
          <w:sz w:val="24"/>
        </w:rPr>
        <w:t>接受招标</w:t>
      </w:r>
      <w:r>
        <w:rPr>
          <w:sz w:val="24"/>
        </w:rPr>
        <w:t>文件的全部要求，对</w:t>
      </w:r>
      <w:r>
        <w:rPr>
          <w:rFonts w:hint="eastAsia"/>
          <w:sz w:val="24"/>
        </w:rPr>
        <w:t>此项目进行全部</w:t>
      </w:r>
      <w:r>
        <w:rPr>
          <w:sz w:val="24"/>
        </w:rPr>
        <w:t>响应。</w:t>
      </w:r>
    </w:p>
    <w:p>
      <w:pPr>
        <w:snapToGrid w:val="0"/>
        <w:spacing w:line="360" w:lineRule="auto"/>
        <w:ind w:firstLine="480" w:firstLineChars="200"/>
        <w:jc w:val="left"/>
        <w:rPr>
          <w:sz w:val="24"/>
          <w:szCs w:val="24"/>
        </w:rPr>
      </w:pPr>
      <w:r>
        <w:rPr>
          <w:rFonts w:hint="eastAsia"/>
          <w:sz w:val="24"/>
        </w:rPr>
        <w:t>2.</w:t>
      </w:r>
      <w:r>
        <w:rPr>
          <w:sz w:val="24"/>
        </w:rPr>
        <w:t>我们完全同意放弃对</w:t>
      </w:r>
      <w:r>
        <w:rPr>
          <w:rFonts w:hint="eastAsia"/>
          <w:sz w:val="24"/>
        </w:rPr>
        <w:t>招标</w:t>
      </w:r>
      <w:r>
        <w:rPr>
          <w:sz w:val="24"/>
        </w:rPr>
        <w:t>文件有不明及误解的权利。如果由于我方对</w:t>
      </w:r>
      <w:r>
        <w:rPr>
          <w:rFonts w:hint="eastAsia"/>
          <w:sz w:val="24"/>
        </w:rPr>
        <w:t>招标</w:t>
      </w:r>
      <w:r>
        <w:rPr>
          <w:sz w:val="24"/>
        </w:rPr>
        <w:t>文件规定的任何误解和忽略而导致</w:t>
      </w:r>
      <w:r>
        <w:rPr>
          <w:rFonts w:hint="eastAsia"/>
          <w:sz w:val="24"/>
        </w:rPr>
        <w:t>中标</w:t>
      </w:r>
      <w:r>
        <w:rPr>
          <w:sz w:val="24"/>
        </w:rPr>
        <w:t>后发生的任何风险，其责任</w:t>
      </w:r>
      <w:r>
        <w:rPr>
          <w:rFonts w:hint="eastAsia"/>
          <w:sz w:val="24"/>
        </w:rPr>
        <w:t>由</w:t>
      </w:r>
      <w:r>
        <w:rPr>
          <w:sz w:val="24"/>
        </w:rPr>
        <w:t>我方自负。</w:t>
      </w:r>
    </w:p>
    <w:p>
      <w:pPr>
        <w:snapToGrid w:val="0"/>
        <w:spacing w:line="360" w:lineRule="auto"/>
        <w:ind w:firstLine="480" w:firstLineChars="200"/>
        <w:jc w:val="left"/>
        <w:rPr>
          <w:sz w:val="24"/>
        </w:rPr>
      </w:pPr>
      <w:r>
        <w:rPr>
          <w:rFonts w:hint="eastAsia"/>
          <w:sz w:val="24"/>
        </w:rPr>
        <w:t>3.我方承诺在合同签订生效后服务期限为</w:t>
      </w:r>
      <w:r>
        <w:rPr>
          <w:rFonts w:hint="eastAsia"/>
          <w:sz w:val="24"/>
          <w:u w:val="single"/>
        </w:rPr>
        <w:t>——</w:t>
      </w:r>
      <w:r>
        <w:rPr>
          <w:rFonts w:hint="eastAsia"/>
          <w:sz w:val="24"/>
          <w:szCs w:val="24"/>
        </w:rPr>
        <w:t>，达到验收标准。</w:t>
      </w:r>
    </w:p>
    <w:p>
      <w:pPr>
        <w:snapToGrid w:val="0"/>
        <w:spacing w:line="360" w:lineRule="auto"/>
        <w:ind w:firstLine="480" w:firstLineChars="200"/>
        <w:jc w:val="left"/>
        <w:rPr>
          <w:sz w:val="24"/>
        </w:rPr>
      </w:pPr>
      <w:r>
        <w:rPr>
          <w:rFonts w:hint="eastAsia"/>
          <w:sz w:val="24"/>
        </w:rPr>
        <w:t>4</w:t>
      </w:r>
      <w:r>
        <w:rPr>
          <w:sz w:val="24"/>
        </w:rPr>
        <w:t>.如果贵方接受我方</w:t>
      </w:r>
      <w:r>
        <w:rPr>
          <w:rFonts w:hint="eastAsia"/>
          <w:sz w:val="24"/>
        </w:rPr>
        <w:t>投标文件</w:t>
      </w:r>
      <w:r>
        <w:rPr>
          <w:sz w:val="24"/>
        </w:rPr>
        <w:t>，我方将按</w:t>
      </w:r>
      <w:r>
        <w:rPr>
          <w:rFonts w:hint="eastAsia"/>
          <w:sz w:val="24"/>
        </w:rPr>
        <w:t>招标</w:t>
      </w:r>
      <w:r>
        <w:rPr>
          <w:sz w:val="24"/>
        </w:rPr>
        <w:t>文件的规定与贵方签订合同并全面履行合同责任和义务。</w:t>
      </w:r>
    </w:p>
    <w:p>
      <w:pPr>
        <w:snapToGrid w:val="0"/>
        <w:spacing w:line="360" w:lineRule="auto"/>
        <w:ind w:firstLine="480" w:firstLineChars="200"/>
        <w:jc w:val="left"/>
        <w:rPr>
          <w:sz w:val="24"/>
        </w:rPr>
      </w:pPr>
      <w:r>
        <w:rPr>
          <w:rFonts w:hint="eastAsia"/>
          <w:sz w:val="24"/>
        </w:rPr>
        <w:t>5</w:t>
      </w:r>
      <w:r>
        <w:rPr>
          <w:sz w:val="24"/>
        </w:rPr>
        <w:t>.</w:t>
      </w:r>
      <w:r>
        <w:rPr>
          <w:rFonts w:hint="eastAsia"/>
          <w:sz w:val="24"/>
        </w:rPr>
        <w:t>我方的投标</w:t>
      </w:r>
      <w:r>
        <w:rPr>
          <w:sz w:val="24"/>
        </w:rPr>
        <w:t>文件</w:t>
      </w:r>
      <w:r>
        <w:rPr>
          <w:rFonts w:hint="eastAsia"/>
          <w:sz w:val="24"/>
        </w:rPr>
        <w:t>投标有效期从提交投标文件的截止之日起算</w:t>
      </w:r>
      <w:r>
        <w:rPr>
          <w:sz w:val="24"/>
        </w:rPr>
        <w:t>有效期为</w:t>
      </w:r>
      <w:r>
        <w:rPr>
          <w:rFonts w:hint="eastAsia"/>
          <w:sz w:val="24"/>
          <w:u w:val="single"/>
        </w:rPr>
        <w:t>**</w:t>
      </w:r>
      <w:r>
        <w:rPr>
          <w:sz w:val="24"/>
        </w:rPr>
        <w:t>天</w:t>
      </w:r>
      <w:r>
        <w:rPr>
          <w:rFonts w:hint="eastAsia"/>
          <w:sz w:val="24"/>
        </w:rPr>
        <w:t>（日历天）。</w:t>
      </w:r>
      <w:r>
        <w:rPr>
          <w:sz w:val="24"/>
        </w:rPr>
        <w:t>在该期限届满之前，本</w:t>
      </w:r>
      <w:r>
        <w:rPr>
          <w:rFonts w:hint="eastAsia"/>
          <w:sz w:val="24"/>
        </w:rPr>
        <w:t>投标文件</w:t>
      </w:r>
      <w:r>
        <w:rPr>
          <w:sz w:val="24"/>
        </w:rPr>
        <w:t>对我方始终有约束力。</w:t>
      </w:r>
    </w:p>
    <w:p>
      <w:pPr>
        <w:snapToGrid w:val="0"/>
        <w:spacing w:line="360" w:lineRule="auto"/>
        <w:ind w:firstLine="480" w:firstLineChars="200"/>
        <w:rPr>
          <w:sz w:val="24"/>
        </w:rPr>
      </w:pPr>
      <w:r>
        <w:rPr>
          <w:rFonts w:hint="eastAsia"/>
          <w:sz w:val="24"/>
        </w:rPr>
        <w:t>6.我方承诺所提供的任何资料都是真实可靠的，若原件与投标文件中的复印件（或扫描件）不一致，我方承担一切法律后果。</w:t>
      </w:r>
    </w:p>
    <w:p>
      <w:pPr>
        <w:snapToGrid w:val="0"/>
        <w:spacing w:line="360" w:lineRule="auto"/>
        <w:ind w:firstLine="480" w:firstLineChars="200"/>
        <w:rPr>
          <w:rFonts w:ascii="楷体_GB2312" w:eastAsia="楷体_GB2312"/>
          <w:b/>
          <w:sz w:val="24"/>
        </w:rPr>
      </w:pPr>
      <w:r>
        <w:rPr>
          <w:rFonts w:hint="eastAsia"/>
          <w:sz w:val="24"/>
        </w:rPr>
        <w:t>7</w:t>
      </w:r>
      <w:r>
        <w:rPr>
          <w:sz w:val="24"/>
        </w:rPr>
        <w:t>.与</w:t>
      </w:r>
      <w:r>
        <w:rPr>
          <w:rFonts w:hint="eastAsia"/>
          <w:sz w:val="24"/>
        </w:rPr>
        <w:t>我方</w:t>
      </w:r>
      <w:r>
        <w:rPr>
          <w:sz w:val="24"/>
        </w:rPr>
        <w:t>有关的一切正式往来通讯请寄：</w:t>
      </w:r>
    </w:p>
    <w:p>
      <w:pPr>
        <w:snapToGrid w:val="0"/>
        <w:spacing w:line="360" w:lineRule="auto"/>
        <w:ind w:firstLine="480" w:firstLineChars="200"/>
        <w:jc w:val="left"/>
        <w:rPr>
          <w:sz w:val="24"/>
        </w:rPr>
      </w:pPr>
    </w:p>
    <w:p>
      <w:pPr>
        <w:snapToGrid w:val="0"/>
        <w:spacing w:line="360" w:lineRule="auto"/>
        <w:ind w:firstLine="480" w:firstLineChars="200"/>
        <w:jc w:val="left"/>
        <w:rPr>
          <w:sz w:val="24"/>
        </w:rPr>
      </w:pPr>
      <w:r>
        <w:rPr>
          <w:rFonts w:hint="eastAsia"/>
          <w:sz w:val="24"/>
        </w:rPr>
        <w:t>地址：</w:t>
      </w:r>
      <w:r>
        <w:rPr>
          <w:sz w:val="24"/>
        </w:rPr>
        <w:t xml:space="preserve">              </w:t>
      </w:r>
    </w:p>
    <w:p>
      <w:pPr>
        <w:snapToGrid w:val="0"/>
        <w:spacing w:line="360" w:lineRule="auto"/>
        <w:ind w:firstLine="480" w:firstLineChars="200"/>
        <w:jc w:val="left"/>
        <w:rPr>
          <w:sz w:val="24"/>
        </w:rPr>
      </w:pPr>
      <w:r>
        <w:rPr>
          <w:rFonts w:hint="eastAsia"/>
          <w:sz w:val="24"/>
        </w:rPr>
        <w:t>电话：</w:t>
      </w:r>
      <w:r>
        <w:rPr>
          <w:sz w:val="24"/>
        </w:rPr>
        <w:t xml:space="preserve">           </w:t>
      </w:r>
    </w:p>
    <w:p>
      <w:pPr>
        <w:snapToGrid w:val="0"/>
        <w:spacing w:line="360" w:lineRule="auto"/>
        <w:ind w:firstLine="480" w:firstLineChars="200"/>
        <w:jc w:val="left"/>
        <w:rPr>
          <w:sz w:val="24"/>
        </w:rPr>
      </w:pPr>
      <w:r>
        <w:rPr>
          <w:sz w:val="24"/>
        </w:rPr>
        <w:t xml:space="preserve">其它联系方法：      </w:t>
      </w:r>
    </w:p>
    <w:p>
      <w:pPr>
        <w:snapToGrid w:val="0"/>
        <w:spacing w:line="360" w:lineRule="auto"/>
        <w:ind w:firstLine="480" w:firstLineChars="200"/>
        <w:jc w:val="left"/>
        <w:rPr>
          <w:sz w:val="24"/>
        </w:rPr>
      </w:pPr>
      <w:r>
        <w:rPr>
          <w:rFonts w:hint="eastAsia"/>
          <w:sz w:val="24"/>
        </w:rPr>
        <w:t>法定代表人</w:t>
      </w:r>
      <w:r>
        <w:rPr>
          <w:rFonts w:hint="eastAsia"/>
          <w:bCs/>
          <w:sz w:val="24"/>
          <w:szCs w:val="24"/>
        </w:rPr>
        <w:t>（负责人）</w:t>
      </w:r>
      <w:r>
        <w:rPr>
          <w:rFonts w:hint="eastAsia"/>
          <w:sz w:val="24"/>
        </w:rPr>
        <w:t>（或授权委托人）：(签名或签章)</w:t>
      </w:r>
      <w:r>
        <w:rPr>
          <w:sz w:val="24"/>
        </w:rPr>
        <w:t xml:space="preserve">              </w:t>
      </w:r>
    </w:p>
    <w:p>
      <w:pPr>
        <w:snapToGrid w:val="0"/>
        <w:spacing w:line="360" w:lineRule="auto"/>
        <w:ind w:firstLine="480" w:firstLineChars="200"/>
        <w:jc w:val="center"/>
        <w:rPr>
          <w:sz w:val="24"/>
        </w:rPr>
      </w:pPr>
      <w:r>
        <w:rPr>
          <w:rFonts w:hint="eastAsia"/>
          <w:sz w:val="24"/>
        </w:rPr>
        <w:t xml:space="preserve">   </w:t>
      </w:r>
    </w:p>
    <w:p>
      <w:pPr>
        <w:snapToGrid w:val="0"/>
        <w:spacing w:line="360" w:lineRule="auto"/>
        <w:jc w:val="center"/>
        <w:rPr>
          <w:sz w:val="24"/>
        </w:rPr>
      </w:pPr>
      <w:r>
        <w:rPr>
          <w:rFonts w:hint="eastAsia"/>
          <w:sz w:val="24"/>
        </w:rPr>
        <w:t xml:space="preserve">投标人（全称）: （签章） </w:t>
      </w:r>
    </w:p>
    <w:p>
      <w:pPr>
        <w:snapToGrid w:val="0"/>
        <w:spacing w:line="360" w:lineRule="auto"/>
        <w:jc w:val="center"/>
        <w:rPr>
          <w:sz w:val="24"/>
          <w:szCs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widowControl/>
        <w:jc w:val="left"/>
        <w:rPr>
          <w:b/>
          <w:sz w:val="32"/>
          <w:szCs w:val="32"/>
        </w:rPr>
      </w:pPr>
      <w:r>
        <w:rPr>
          <w:b/>
          <w:sz w:val="32"/>
          <w:szCs w:val="32"/>
        </w:rPr>
        <w:br w:type="page"/>
      </w:r>
    </w:p>
    <w:p>
      <w:pPr>
        <w:pStyle w:val="3"/>
        <w:adjustRightInd w:val="0"/>
        <w:snapToGrid w:val="0"/>
        <w:spacing w:line="360" w:lineRule="auto"/>
        <w:jc w:val="center"/>
        <w:rPr>
          <w:rFonts w:ascii="宋体" w:hAnsi="宋体"/>
          <w:b/>
          <w:bCs/>
          <w:sz w:val="32"/>
          <w:szCs w:val="32"/>
        </w:rPr>
      </w:pPr>
      <w:r>
        <w:rPr>
          <w:rFonts w:hint="eastAsia" w:ascii="宋体" w:hAnsi="宋体"/>
          <w:b/>
          <w:bCs/>
          <w:sz w:val="32"/>
          <w:szCs w:val="32"/>
        </w:rPr>
        <w:t xml:space="preserve">  二、法人或者其他组织的营业执照等证明文件，自然人的身份证明</w:t>
      </w:r>
    </w:p>
    <w:p>
      <w:pPr>
        <w:widowControl/>
        <w:adjustRightInd w:val="0"/>
        <w:snapToGrid w:val="0"/>
        <w:spacing w:line="360" w:lineRule="auto"/>
        <w:ind w:firstLine="480" w:firstLineChars="200"/>
        <w:rPr>
          <w:sz w:val="24"/>
        </w:rPr>
      </w:pPr>
      <w:r>
        <w:rPr>
          <w:rFonts w:hint="eastAsia"/>
          <w:sz w:val="24"/>
        </w:rPr>
        <w:t>法人包括企业法人、机关法人、事业单位法人和社会团体法人。其他组织主要包括合伙企业、非企业专业服务机构、个体工商户、农村承包经营户。自然人是指《中华人民共和国民法总则》（以下简称《民法总则》）规定的具有完全民事行为能力、能够承担民事责任和义务的公民。并加盖签章。</w:t>
      </w:r>
    </w:p>
    <w:p>
      <w:pPr>
        <w:widowControl/>
        <w:adjustRightInd w:val="0"/>
        <w:snapToGrid w:val="0"/>
        <w:spacing w:line="360" w:lineRule="auto"/>
        <w:ind w:firstLine="480" w:firstLineChars="200"/>
        <w:rPr>
          <w:sz w:val="24"/>
        </w:rPr>
      </w:pPr>
      <w:r>
        <w:rPr>
          <w:rFonts w:hint="eastAsia"/>
          <w:sz w:val="24"/>
        </w:rPr>
        <w:t>分公司根据《民法总则》可以以自己的名义参与。</w:t>
      </w:r>
    </w:p>
    <w:p>
      <w:pPr>
        <w:widowControl/>
        <w:adjustRightInd w:val="0"/>
        <w:snapToGrid w:val="0"/>
        <w:spacing w:line="360" w:lineRule="auto"/>
        <w:ind w:firstLine="321" w:firstLineChars="100"/>
        <w:outlineLvl w:val="1"/>
        <w:rPr>
          <w:b/>
          <w:sz w:val="24"/>
        </w:rPr>
      </w:pPr>
      <w:r>
        <w:rPr>
          <w:rFonts w:hint="eastAsia"/>
          <w:b/>
          <w:sz w:val="32"/>
          <w:szCs w:val="32"/>
        </w:rPr>
        <w:t>三、财务状况报告、</w:t>
      </w:r>
      <w:r>
        <w:rPr>
          <w:b/>
          <w:sz w:val="32"/>
          <w:szCs w:val="32"/>
        </w:rPr>
        <w:t>依法缴纳税收和社会保障资金的相关材料</w:t>
      </w:r>
    </w:p>
    <w:p>
      <w:pPr>
        <w:widowControl/>
        <w:adjustRightInd w:val="0"/>
        <w:snapToGrid w:val="0"/>
        <w:spacing w:line="360" w:lineRule="auto"/>
        <w:ind w:firstLine="480" w:firstLineChars="200"/>
        <w:rPr>
          <w:sz w:val="24"/>
        </w:rPr>
      </w:pPr>
      <w:r>
        <w:rPr>
          <w:rFonts w:hint="eastAsia"/>
          <w:sz w:val="24"/>
        </w:rPr>
        <w:t>1.财务状况报告包括经审计的财务报告（上一年度或本年度）或银行出具的资信证明（有效期内的），能够清晰准确反映投标人的商业信誉情况，间接反映投标人是否有健全的财务会计制度。部分其他组织和自然人，没有经审计的财务报告，可以提供银行出具的资信证明。并加盖签章。</w:t>
      </w:r>
    </w:p>
    <w:p>
      <w:pPr>
        <w:widowControl/>
        <w:adjustRightInd w:val="0"/>
        <w:snapToGrid w:val="0"/>
        <w:spacing w:line="360" w:lineRule="auto"/>
        <w:ind w:firstLine="480" w:firstLineChars="200"/>
        <w:rPr>
          <w:sz w:val="24"/>
        </w:rPr>
      </w:pPr>
      <w:r>
        <w:rPr>
          <w:rFonts w:hint="eastAsia"/>
          <w:sz w:val="24"/>
        </w:rPr>
        <w:t>2.依法缴纳税收：参加政府采购活动近一年中任意一个月的时间内缴纳增值税、企业所得税的凭据（包括税务机关或开户银行的缴纳凭证）。并加盖签章。</w:t>
      </w:r>
    </w:p>
    <w:p>
      <w:pPr>
        <w:widowControl/>
        <w:adjustRightInd w:val="0"/>
        <w:snapToGrid w:val="0"/>
        <w:spacing w:line="360" w:lineRule="auto"/>
        <w:ind w:firstLine="480" w:firstLineChars="200"/>
        <w:rPr>
          <w:sz w:val="24"/>
        </w:rPr>
      </w:pPr>
      <w:r>
        <w:rPr>
          <w:rFonts w:hint="eastAsia"/>
          <w:sz w:val="24"/>
        </w:rPr>
        <w:t>3.社会保障资金：参加政府采购活动近一年中任意一个月的时间内缴纳社会保险的凭据，其他组织和自然人也需要提供缴纳税收的凭据和缴纳社会保险的凭据（包括社保机关、税务机关或开户银行的缴纳凭证）。并加盖签章。</w:t>
      </w:r>
    </w:p>
    <w:p>
      <w:pPr>
        <w:widowControl/>
        <w:adjustRightInd w:val="0"/>
        <w:snapToGrid w:val="0"/>
        <w:spacing w:line="360" w:lineRule="auto"/>
        <w:ind w:firstLine="420" w:firstLineChars="200"/>
        <w:outlineLvl w:val="1"/>
        <w:rPr>
          <w:bCs/>
          <w:kern w:val="2"/>
          <w:sz w:val="21"/>
          <w:szCs w:val="20"/>
        </w:rPr>
      </w:pPr>
      <w:r>
        <w:rPr>
          <w:rFonts w:hint="eastAsia"/>
          <w:bCs/>
          <w:kern w:val="2"/>
          <w:sz w:val="21"/>
          <w:szCs w:val="20"/>
        </w:rPr>
        <w:t>注：依法免税或不需要缴纳社会保障资金的投标人，应提供相应文件证明其依法免税或不需要缴纳社会保障资金。</w:t>
      </w:r>
    </w:p>
    <w:p>
      <w:pPr>
        <w:jc w:val="center"/>
        <w:rPr>
          <w:rFonts w:cs="宋体"/>
          <w:sz w:val="24"/>
        </w:rPr>
      </w:pPr>
      <w:r>
        <w:rPr>
          <w:rFonts w:hint="eastAsia" w:cs="宋体"/>
          <w:sz w:val="24"/>
        </w:rPr>
        <w:br w:type="page"/>
      </w:r>
    </w:p>
    <w:p>
      <w:pPr>
        <w:jc w:val="center"/>
        <w:rPr>
          <w:rFonts w:cs="宋体"/>
          <w:sz w:val="32"/>
          <w:szCs w:val="32"/>
        </w:rPr>
      </w:pPr>
      <w:r>
        <w:rPr>
          <w:rFonts w:hint="eastAsia" w:cs="宋体"/>
          <w:b/>
          <w:bCs/>
          <w:sz w:val="32"/>
          <w:szCs w:val="32"/>
        </w:rPr>
        <w:t>四、履行合同所必需的设备和专业技术能力的证明材料</w:t>
      </w:r>
    </w:p>
    <w:p>
      <w:pPr>
        <w:jc w:val="center"/>
        <w:rPr>
          <w:rFonts w:cs="宋体"/>
          <w:sz w:val="24"/>
        </w:rPr>
      </w:pPr>
      <w:r>
        <w:rPr>
          <w:rFonts w:hint="eastAsia" w:cs="宋体"/>
          <w:sz w:val="24"/>
        </w:rPr>
        <w:t>主要是指投标人履行合同的设备和专业技术人员等。按照下列</w:t>
      </w:r>
      <w:r>
        <w:rPr>
          <w:rFonts w:hint="eastAsia" w:cs="宋体"/>
          <w:b/>
          <w:bCs/>
          <w:sz w:val="24"/>
        </w:rPr>
        <w:t>企业概况</w:t>
      </w:r>
      <w:r>
        <w:rPr>
          <w:rFonts w:hint="eastAsia" w:cs="宋体"/>
          <w:sz w:val="24"/>
        </w:rPr>
        <w:t>内容进行填写:</w:t>
      </w:r>
    </w:p>
    <w:p>
      <w:pPr>
        <w:jc w:val="center"/>
        <w:rPr>
          <w:rFonts w:cs="宋体"/>
          <w:sz w:val="24"/>
        </w:rPr>
      </w:pPr>
      <w:r>
        <w:rPr>
          <w:rFonts w:hint="eastAsia" w:cs="宋体"/>
          <w:b/>
          <w:bCs/>
          <w:sz w:val="24"/>
        </w:rPr>
        <w:t>企业概况</w:t>
      </w:r>
    </w:p>
    <w:tbl>
      <w:tblPr>
        <w:tblStyle w:val="21"/>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198"/>
        <w:gridCol w:w="1452"/>
        <w:gridCol w:w="1920"/>
        <w:gridCol w:w="864"/>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15" w:type="dxa"/>
            <w:vAlign w:val="center"/>
          </w:tcPr>
          <w:p>
            <w:pPr>
              <w:jc w:val="center"/>
            </w:pPr>
            <w:r>
              <w:rPr>
                <w:rFonts w:hint="eastAsia"/>
                <w:sz w:val="24"/>
              </w:rPr>
              <w:t>投标人名称</w:t>
            </w:r>
          </w:p>
        </w:tc>
        <w:tc>
          <w:tcPr>
            <w:tcW w:w="7313" w:type="dxa"/>
            <w:gridSpan w:val="5"/>
            <w:vAlign w:val="center"/>
          </w:tcPr>
          <w:p>
            <w:r>
              <w:rPr>
                <w:rFonts w:hint="eastAsia"/>
                <w:sz w:val="24"/>
              </w:rPr>
              <w:t>投标人（全称）: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15" w:type="dxa"/>
            <w:vMerge w:val="restart"/>
            <w:vAlign w:val="center"/>
          </w:tcPr>
          <w:p>
            <w:pPr>
              <w:jc w:val="center"/>
            </w:pPr>
            <w:r>
              <w:rPr>
                <w:rFonts w:hint="eastAsia"/>
                <w:sz w:val="24"/>
              </w:rPr>
              <w:t>联系方式</w:t>
            </w:r>
          </w:p>
        </w:tc>
        <w:tc>
          <w:tcPr>
            <w:tcW w:w="1198" w:type="dxa"/>
            <w:vAlign w:val="center"/>
          </w:tcPr>
          <w:p>
            <w:pPr>
              <w:jc w:val="center"/>
            </w:pPr>
            <w:r>
              <w:rPr>
                <w:rFonts w:hint="eastAsia"/>
                <w:sz w:val="24"/>
              </w:rPr>
              <w:t>联系人</w:t>
            </w:r>
          </w:p>
        </w:tc>
        <w:tc>
          <w:tcPr>
            <w:tcW w:w="1452" w:type="dxa"/>
            <w:vAlign w:val="center"/>
          </w:tcPr>
          <w:p>
            <w:pPr>
              <w:jc w:val="center"/>
            </w:pPr>
          </w:p>
        </w:tc>
        <w:tc>
          <w:tcPr>
            <w:tcW w:w="1920" w:type="dxa"/>
            <w:vAlign w:val="center"/>
          </w:tcPr>
          <w:p>
            <w:pPr>
              <w:jc w:val="center"/>
            </w:pPr>
            <w:r>
              <w:rPr>
                <w:rFonts w:hint="eastAsia"/>
                <w:sz w:val="24"/>
              </w:rPr>
              <w:t>联系电话</w:t>
            </w:r>
          </w:p>
        </w:tc>
        <w:tc>
          <w:tcPr>
            <w:tcW w:w="274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15" w:type="dxa"/>
            <w:vMerge w:val="continue"/>
            <w:vAlign w:val="center"/>
          </w:tcPr>
          <w:p>
            <w:pPr>
              <w:jc w:val="center"/>
            </w:pPr>
          </w:p>
        </w:tc>
        <w:tc>
          <w:tcPr>
            <w:tcW w:w="1198" w:type="dxa"/>
            <w:vAlign w:val="center"/>
          </w:tcPr>
          <w:p>
            <w:pPr>
              <w:jc w:val="center"/>
            </w:pPr>
            <w:r>
              <w:rPr>
                <w:rFonts w:hint="eastAsia"/>
                <w:sz w:val="24"/>
              </w:rPr>
              <w:t>传 真</w:t>
            </w:r>
          </w:p>
        </w:tc>
        <w:tc>
          <w:tcPr>
            <w:tcW w:w="1452" w:type="dxa"/>
            <w:vAlign w:val="center"/>
          </w:tcPr>
          <w:p>
            <w:pPr>
              <w:jc w:val="center"/>
            </w:pPr>
          </w:p>
        </w:tc>
        <w:tc>
          <w:tcPr>
            <w:tcW w:w="1920" w:type="dxa"/>
            <w:vAlign w:val="center"/>
          </w:tcPr>
          <w:p>
            <w:pPr>
              <w:jc w:val="center"/>
            </w:pPr>
            <w:r>
              <w:rPr>
                <w:rFonts w:hint="eastAsia"/>
                <w:sz w:val="24"/>
              </w:rPr>
              <w:t>邮政编码</w:t>
            </w:r>
          </w:p>
        </w:tc>
        <w:tc>
          <w:tcPr>
            <w:tcW w:w="274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15" w:type="dxa"/>
            <w:vAlign w:val="center"/>
          </w:tcPr>
          <w:p>
            <w:pPr>
              <w:jc w:val="center"/>
            </w:pPr>
            <w:r>
              <w:rPr>
                <w:rFonts w:hint="eastAsia"/>
                <w:sz w:val="24"/>
              </w:rPr>
              <w:t>法定代表人（负责人）</w:t>
            </w:r>
          </w:p>
        </w:tc>
        <w:tc>
          <w:tcPr>
            <w:tcW w:w="1198" w:type="dxa"/>
            <w:vAlign w:val="center"/>
          </w:tcPr>
          <w:p>
            <w:pPr>
              <w:jc w:val="center"/>
            </w:pPr>
            <w:r>
              <w:rPr>
                <w:rFonts w:hint="eastAsia"/>
                <w:sz w:val="24"/>
              </w:rPr>
              <w:t>姓名</w:t>
            </w:r>
          </w:p>
        </w:tc>
        <w:tc>
          <w:tcPr>
            <w:tcW w:w="3372" w:type="dxa"/>
            <w:gridSpan w:val="2"/>
            <w:vAlign w:val="center"/>
          </w:tcPr>
          <w:p>
            <w:pPr>
              <w:jc w:val="center"/>
              <w:rPr>
                <w:sz w:val="24"/>
              </w:rPr>
            </w:pPr>
          </w:p>
        </w:tc>
        <w:tc>
          <w:tcPr>
            <w:tcW w:w="864" w:type="dxa"/>
            <w:vAlign w:val="center"/>
          </w:tcPr>
          <w:p>
            <w:pPr>
              <w:jc w:val="center"/>
              <w:rPr>
                <w:sz w:val="24"/>
              </w:rPr>
            </w:pPr>
            <w:r>
              <w:rPr>
                <w:rFonts w:hint="eastAsia"/>
                <w:sz w:val="24"/>
              </w:rPr>
              <w:t>电话</w:t>
            </w:r>
          </w:p>
        </w:tc>
        <w:tc>
          <w:tcPr>
            <w:tcW w:w="18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715" w:type="dxa"/>
            <w:vAlign w:val="center"/>
          </w:tcPr>
          <w:p>
            <w:pPr>
              <w:jc w:val="center"/>
              <w:rPr>
                <w:sz w:val="24"/>
              </w:rPr>
            </w:pPr>
            <w:r>
              <w:rPr>
                <w:rFonts w:hint="eastAsia"/>
                <w:sz w:val="24"/>
              </w:rPr>
              <w:t>开户银行</w:t>
            </w:r>
          </w:p>
        </w:tc>
        <w:tc>
          <w:tcPr>
            <w:tcW w:w="2650" w:type="dxa"/>
            <w:gridSpan w:val="2"/>
          </w:tcPr>
          <w:p>
            <w:pPr>
              <w:jc w:val="center"/>
              <w:rPr>
                <w:sz w:val="24"/>
              </w:rPr>
            </w:pPr>
          </w:p>
        </w:tc>
        <w:tc>
          <w:tcPr>
            <w:tcW w:w="1920" w:type="dxa"/>
            <w:vAlign w:val="center"/>
          </w:tcPr>
          <w:p>
            <w:pPr>
              <w:jc w:val="center"/>
              <w:rPr>
                <w:sz w:val="24"/>
              </w:rPr>
            </w:pPr>
            <w:r>
              <w:rPr>
                <w:rFonts w:hint="eastAsia"/>
                <w:sz w:val="24"/>
              </w:rPr>
              <w:t>开户银行账号</w:t>
            </w:r>
          </w:p>
        </w:tc>
        <w:tc>
          <w:tcPr>
            <w:tcW w:w="2743" w:type="dxa"/>
            <w:gridSpan w:val="2"/>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715" w:type="dxa"/>
            <w:vAlign w:val="center"/>
          </w:tcPr>
          <w:p>
            <w:pPr>
              <w:jc w:val="center"/>
              <w:rPr>
                <w:sz w:val="24"/>
              </w:rPr>
            </w:pPr>
            <w:r>
              <w:rPr>
                <w:rFonts w:hint="eastAsia"/>
                <w:sz w:val="24"/>
              </w:rPr>
              <w:t>员工总人数</w:t>
            </w:r>
          </w:p>
        </w:tc>
        <w:tc>
          <w:tcPr>
            <w:tcW w:w="7313" w:type="dxa"/>
            <w:gridSpan w:val="5"/>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15" w:type="dxa"/>
            <w:vMerge w:val="restart"/>
            <w:vAlign w:val="center"/>
          </w:tcPr>
          <w:p>
            <w:pPr>
              <w:jc w:val="center"/>
            </w:pPr>
            <w:r>
              <w:rPr>
                <w:rFonts w:hint="eastAsia"/>
                <w:sz w:val="24"/>
              </w:rPr>
              <w:t>其中技术人员</w:t>
            </w:r>
          </w:p>
        </w:tc>
        <w:tc>
          <w:tcPr>
            <w:tcW w:w="2650" w:type="dxa"/>
            <w:gridSpan w:val="2"/>
            <w:vAlign w:val="center"/>
          </w:tcPr>
          <w:p>
            <w:pPr>
              <w:jc w:val="center"/>
              <w:rPr>
                <w:sz w:val="24"/>
              </w:rPr>
            </w:pPr>
            <w:r>
              <w:rPr>
                <w:rFonts w:hint="eastAsia"/>
                <w:sz w:val="24"/>
              </w:rPr>
              <w:t>高级职称人员</w:t>
            </w:r>
          </w:p>
        </w:tc>
        <w:tc>
          <w:tcPr>
            <w:tcW w:w="4663" w:type="dxa"/>
            <w:gridSpan w:val="3"/>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15" w:type="dxa"/>
            <w:vMerge w:val="continue"/>
            <w:vAlign w:val="center"/>
          </w:tcPr>
          <w:p>
            <w:pPr>
              <w:jc w:val="center"/>
              <w:rPr>
                <w:sz w:val="24"/>
              </w:rPr>
            </w:pPr>
          </w:p>
        </w:tc>
        <w:tc>
          <w:tcPr>
            <w:tcW w:w="2650" w:type="dxa"/>
            <w:gridSpan w:val="2"/>
            <w:vAlign w:val="center"/>
          </w:tcPr>
          <w:p>
            <w:pPr>
              <w:jc w:val="center"/>
              <w:rPr>
                <w:sz w:val="24"/>
              </w:rPr>
            </w:pPr>
            <w:r>
              <w:rPr>
                <w:rFonts w:hint="eastAsia"/>
                <w:sz w:val="24"/>
              </w:rPr>
              <w:t>中级职称人员</w:t>
            </w:r>
          </w:p>
        </w:tc>
        <w:tc>
          <w:tcPr>
            <w:tcW w:w="4663" w:type="dxa"/>
            <w:gridSpan w:val="3"/>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15" w:type="dxa"/>
            <w:vMerge w:val="continue"/>
            <w:vAlign w:val="center"/>
          </w:tcPr>
          <w:p>
            <w:pPr>
              <w:jc w:val="center"/>
            </w:pPr>
          </w:p>
        </w:tc>
        <w:tc>
          <w:tcPr>
            <w:tcW w:w="2650" w:type="dxa"/>
            <w:gridSpan w:val="2"/>
            <w:vAlign w:val="center"/>
          </w:tcPr>
          <w:p>
            <w:pPr>
              <w:jc w:val="center"/>
              <w:rPr>
                <w:sz w:val="24"/>
              </w:rPr>
            </w:pPr>
            <w:r>
              <w:rPr>
                <w:rFonts w:hint="eastAsia"/>
                <w:sz w:val="24"/>
              </w:rPr>
              <w:t>初级职称人员</w:t>
            </w:r>
          </w:p>
        </w:tc>
        <w:tc>
          <w:tcPr>
            <w:tcW w:w="4663" w:type="dxa"/>
            <w:gridSpan w:val="3"/>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15" w:type="dxa"/>
            <w:vMerge w:val="continue"/>
            <w:vAlign w:val="center"/>
          </w:tcPr>
          <w:p>
            <w:pPr>
              <w:jc w:val="center"/>
              <w:rPr>
                <w:sz w:val="24"/>
              </w:rPr>
            </w:pPr>
          </w:p>
        </w:tc>
        <w:tc>
          <w:tcPr>
            <w:tcW w:w="2650" w:type="dxa"/>
            <w:gridSpan w:val="2"/>
            <w:vAlign w:val="center"/>
          </w:tcPr>
          <w:p>
            <w:pPr>
              <w:jc w:val="center"/>
              <w:rPr>
                <w:sz w:val="24"/>
              </w:rPr>
            </w:pPr>
            <w:r>
              <w:rPr>
                <w:rFonts w:hint="eastAsia"/>
                <w:sz w:val="24"/>
              </w:rPr>
              <w:t>技工</w:t>
            </w:r>
          </w:p>
        </w:tc>
        <w:tc>
          <w:tcPr>
            <w:tcW w:w="4663" w:type="dxa"/>
            <w:gridSpan w:val="3"/>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715" w:type="dxa"/>
            <w:vAlign w:val="center"/>
          </w:tcPr>
          <w:p>
            <w:pPr>
              <w:jc w:val="center"/>
              <w:rPr>
                <w:sz w:val="24"/>
              </w:rPr>
            </w:pPr>
            <w:r>
              <w:rPr>
                <w:rFonts w:hint="eastAsia"/>
                <w:sz w:val="24"/>
              </w:rPr>
              <w:t>经营范围</w:t>
            </w:r>
          </w:p>
        </w:tc>
        <w:tc>
          <w:tcPr>
            <w:tcW w:w="7313" w:type="dxa"/>
            <w:gridSpan w:val="5"/>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715" w:type="dxa"/>
            <w:vAlign w:val="center"/>
          </w:tcPr>
          <w:p>
            <w:pPr>
              <w:jc w:val="center"/>
            </w:pPr>
            <w:r>
              <w:rPr>
                <w:rFonts w:hint="eastAsia"/>
                <w:sz w:val="24"/>
              </w:rPr>
              <w:t>主要设备</w:t>
            </w:r>
          </w:p>
        </w:tc>
        <w:tc>
          <w:tcPr>
            <w:tcW w:w="7313" w:type="dxa"/>
            <w:gridSpan w:val="5"/>
          </w:tcPr>
          <w:p>
            <w:pPr>
              <w:jc w:val="center"/>
            </w:pPr>
          </w:p>
          <w:p>
            <w:pPr>
              <w:jc w:val="center"/>
            </w:pPr>
          </w:p>
        </w:tc>
      </w:tr>
    </w:tbl>
    <w:p>
      <w:pPr>
        <w:jc w:val="left"/>
        <w:rPr>
          <w:rFonts w:cs="宋体"/>
          <w:sz w:val="24"/>
        </w:rPr>
      </w:pPr>
    </w:p>
    <w:p>
      <w:pPr>
        <w:jc w:val="left"/>
        <w:rPr>
          <w:rFonts w:cs="宋体"/>
          <w:sz w:val="24"/>
        </w:rPr>
      </w:pPr>
    </w:p>
    <w:p>
      <w:pPr>
        <w:jc w:val="center"/>
        <w:rPr>
          <w:rFonts w:cs="宋体"/>
          <w:b/>
          <w:bCs/>
          <w:sz w:val="24"/>
        </w:rPr>
      </w:pPr>
      <w:r>
        <w:rPr>
          <w:rFonts w:hint="eastAsia" w:cs="宋体"/>
          <w:b/>
          <w:bCs/>
          <w:sz w:val="24"/>
        </w:rPr>
        <w:br w:type="page"/>
      </w:r>
    </w:p>
    <w:p>
      <w:pPr>
        <w:jc w:val="center"/>
        <w:rPr>
          <w:rFonts w:cs="宋体"/>
          <w:b/>
          <w:bCs/>
          <w:sz w:val="32"/>
          <w:szCs w:val="32"/>
        </w:rPr>
      </w:pPr>
      <w:r>
        <w:rPr>
          <w:rFonts w:hint="eastAsia" w:cs="宋体"/>
          <w:b/>
          <w:bCs/>
          <w:sz w:val="32"/>
          <w:szCs w:val="32"/>
        </w:rPr>
        <w:t>五、</w:t>
      </w:r>
      <w:r>
        <w:rPr>
          <w:rFonts w:cs="宋体"/>
          <w:b/>
          <w:bCs/>
          <w:sz w:val="32"/>
          <w:szCs w:val="32"/>
        </w:rPr>
        <w:t>具备法律、行政法规规定的其他条件的证明材料</w:t>
      </w:r>
      <w:r>
        <w:rPr>
          <w:rFonts w:hint="eastAsia" w:cs="宋体"/>
          <w:b/>
          <w:bCs/>
          <w:sz w:val="32"/>
          <w:szCs w:val="32"/>
        </w:rPr>
        <w:t>（若有的话）</w:t>
      </w:r>
    </w:p>
    <w:p>
      <w:pPr>
        <w:widowControl/>
        <w:snapToGrid w:val="0"/>
        <w:spacing w:line="360" w:lineRule="auto"/>
        <w:ind w:right="1" w:firstLine="480" w:firstLineChars="200"/>
        <w:rPr>
          <w:sz w:val="24"/>
          <w:u w:val="single"/>
        </w:rPr>
      </w:pPr>
      <w:r>
        <w:rPr>
          <w:rFonts w:hint="eastAsia"/>
          <w:sz w:val="24"/>
        </w:rPr>
        <w:t>主要是指：国家或行业部门有专门的法律或行政法规规定，参加采购活动必须取得国家有关主管部门的行政许可或资质等采购项目要求的内容。投标人</w:t>
      </w:r>
      <w:r>
        <w:rPr>
          <w:rFonts w:hint="eastAsia"/>
          <w:sz w:val="24"/>
          <w:u w:val="single"/>
        </w:rPr>
        <w:t>根据采购项目情况进行填写。若本次采购不需要提供则不需要填写。</w:t>
      </w:r>
    </w:p>
    <w:p>
      <w:pPr>
        <w:jc w:val="left"/>
        <w:rPr>
          <w:rFonts w:cs="宋体"/>
          <w:sz w:val="24"/>
        </w:rPr>
      </w:pPr>
    </w:p>
    <w:p>
      <w:pPr>
        <w:jc w:val="left"/>
        <w:rPr>
          <w:rFonts w:cs="宋体"/>
          <w:sz w:val="24"/>
        </w:rPr>
      </w:pPr>
    </w:p>
    <w:p>
      <w:pPr>
        <w:widowControl/>
        <w:spacing w:before="269" w:beforeLines="50" w:after="269" w:afterLines="50" w:line="360" w:lineRule="auto"/>
        <w:jc w:val="center"/>
        <w:outlineLvl w:val="1"/>
        <w:rPr>
          <w:b/>
        </w:rPr>
      </w:pPr>
      <w:r>
        <w:rPr>
          <w:rFonts w:cs="宋体"/>
          <w:sz w:val="24"/>
        </w:rPr>
        <w:br w:type="page"/>
      </w:r>
      <w:r>
        <w:rPr>
          <w:rFonts w:hint="eastAsia" w:cs="宋体"/>
          <w:b/>
          <w:bCs/>
          <w:sz w:val="32"/>
          <w:szCs w:val="32"/>
        </w:rPr>
        <w:t>六、无重大违法记录的声明</w:t>
      </w:r>
    </w:p>
    <w:p>
      <w:pPr>
        <w:adjustRightInd w:val="0"/>
        <w:snapToGrid w:val="0"/>
        <w:spacing w:after="100" w:afterAutospacing="1" w:line="360" w:lineRule="auto"/>
        <w:rPr>
          <w:bCs/>
          <w:sz w:val="24"/>
        </w:rPr>
      </w:pPr>
      <w:r>
        <w:rPr>
          <w:rFonts w:hint="eastAsia"/>
          <w:bCs/>
          <w:sz w:val="24"/>
        </w:rPr>
        <w:t>唐山市科学技术协会：</w:t>
      </w:r>
    </w:p>
    <w:p>
      <w:pPr>
        <w:adjustRightInd w:val="0"/>
        <w:snapToGrid w:val="0"/>
        <w:spacing w:after="100" w:afterAutospacing="1" w:line="360" w:lineRule="auto"/>
        <w:ind w:firstLine="470" w:firstLineChars="196"/>
        <w:rPr>
          <w:bCs/>
          <w:sz w:val="24"/>
        </w:rPr>
      </w:pPr>
      <w:r>
        <w:rPr>
          <w:rFonts w:hint="eastAsia"/>
          <w:bCs/>
          <w:sz w:val="24"/>
        </w:rPr>
        <w:t>我</w:t>
      </w:r>
      <w:r>
        <w:rPr>
          <w:rFonts w:hint="eastAsia"/>
          <w:bCs/>
          <w:sz w:val="24"/>
          <w:u w:val="single"/>
        </w:rPr>
        <w:t xml:space="preserve">       （公司全称）     </w:t>
      </w:r>
      <w:r>
        <w:rPr>
          <w:rFonts w:hint="eastAsia"/>
          <w:bCs/>
          <w:sz w:val="24"/>
        </w:rPr>
        <w:t>，在参加本次政府采购活动前三年内，在经营活动中没有重大违法、违纪记录。</w:t>
      </w:r>
    </w:p>
    <w:p>
      <w:pPr>
        <w:tabs>
          <w:tab w:val="center" w:pos="4936"/>
        </w:tabs>
        <w:adjustRightInd w:val="0"/>
        <w:snapToGrid w:val="0"/>
        <w:spacing w:after="100" w:afterAutospacing="1" w:line="360" w:lineRule="auto"/>
        <w:ind w:firstLine="352" w:firstLineChars="147"/>
        <w:rPr>
          <w:bCs/>
          <w:sz w:val="24"/>
        </w:rPr>
      </w:pPr>
      <w:r>
        <w:rPr>
          <w:rFonts w:hint="eastAsia"/>
          <w:bCs/>
          <w:sz w:val="24"/>
        </w:rPr>
        <w:t>特此郑重声明！</w:t>
      </w:r>
      <w:r>
        <w:rPr>
          <w:bCs/>
          <w:sz w:val="24"/>
        </w:rPr>
        <w:tab/>
      </w:r>
    </w:p>
    <w:p>
      <w:pPr>
        <w:adjustRightInd w:val="0"/>
        <w:snapToGrid w:val="0"/>
        <w:spacing w:after="100" w:afterAutospacing="1" w:line="360" w:lineRule="auto"/>
        <w:rPr>
          <w:bCs/>
          <w:sz w:val="24"/>
        </w:rPr>
      </w:pPr>
      <w:r>
        <w:rPr>
          <w:rFonts w:hint="eastAsia"/>
          <w:bCs/>
          <w:sz w:val="24"/>
        </w:rPr>
        <w:t xml:space="preserve">法定代表人（负责人）：（签名或签章）                          </w:t>
      </w:r>
    </w:p>
    <w:p>
      <w:pPr>
        <w:adjustRightInd w:val="0"/>
        <w:snapToGrid w:val="0"/>
        <w:spacing w:after="100" w:afterAutospacing="1" w:line="360" w:lineRule="auto"/>
        <w:jc w:val="left"/>
        <w:rPr>
          <w:bCs/>
          <w:sz w:val="24"/>
        </w:rPr>
      </w:pPr>
      <w:r>
        <w:rPr>
          <w:rFonts w:hint="eastAsia"/>
          <w:bCs/>
          <w:sz w:val="24"/>
        </w:rPr>
        <w:t>投标人（全称）：（签章）</w:t>
      </w:r>
    </w:p>
    <w:p>
      <w:pPr>
        <w:adjustRightInd w:val="0"/>
        <w:snapToGrid w:val="0"/>
        <w:spacing w:after="100" w:afterAutospacing="1" w:line="360" w:lineRule="auto"/>
        <w:ind w:right="840"/>
        <w:jc w:val="center"/>
        <w:rPr>
          <w:bCs/>
          <w:sz w:val="24"/>
        </w:rPr>
      </w:pPr>
      <w:r>
        <w:rPr>
          <w:rFonts w:hint="eastAsia"/>
          <w:bCs/>
          <w:sz w:val="24"/>
        </w:rPr>
        <w:t xml:space="preserve">             年  月  日</w:t>
      </w:r>
    </w:p>
    <w:p>
      <w:pPr>
        <w:widowControl/>
        <w:spacing w:before="269" w:beforeLines="50" w:after="269" w:afterLines="50" w:line="360" w:lineRule="auto"/>
        <w:jc w:val="center"/>
        <w:outlineLvl w:val="1"/>
      </w:pPr>
    </w:p>
    <w:p>
      <w:pPr>
        <w:widowControl/>
        <w:ind w:firstLine="480" w:firstLineChars="200"/>
        <w:jc w:val="left"/>
        <w:outlineLvl w:val="1"/>
        <w:rPr>
          <w:rFonts w:ascii="Times New Roman" w:hAnsi="Times New Roman"/>
          <w:kern w:val="2"/>
          <w:sz w:val="24"/>
          <w:szCs w:val="24"/>
        </w:rPr>
      </w:pPr>
      <w:r>
        <w:rPr>
          <w:rFonts w:hint="eastAsia"/>
          <w:sz w:val="24"/>
          <w:szCs w:val="24"/>
        </w:rPr>
        <w:t>备注：</w:t>
      </w:r>
      <w:r>
        <w:rPr>
          <w:rFonts w:hint="eastAsia" w:ascii="Times New Roman" w:hAnsi="Times New Roman"/>
          <w:kern w:val="2"/>
          <w:sz w:val="24"/>
          <w:szCs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widowControl/>
        <w:spacing w:before="269" w:beforeLines="50" w:after="269" w:afterLines="50" w:line="360" w:lineRule="auto"/>
        <w:jc w:val="center"/>
        <w:outlineLvl w:val="1"/>
        <w:rPr>
          <w:rFonts w:ascii="Times New Roman" w:hAnsi="Times New Roman"/>
          <w:kern w:val="2"/>
          <w:sz w:val="24"/>
          <w:szCs w:val="24"/>
        </w:rPr>
      </w:pPr>
      <w:r>
        <w:br w:type="page"/>
      </w:r>
      <w:r>
        <w:rPr>
          <w:rFonts w:hint="eastAsia" w:cs="宋体"/>
          <w:b/>
          <w:bCs/>
          <w:sz w:val="32"/>
          <w:szCs w:val="32"/>
        </w:rPr>
        <w:t>七、法定代表人（负责人）证明</w:t>
      </w:r>
    </w:p>
    <w:p>
      <w:pPr>
        <w:widowControl/>
        <w:ind w:firstLine="480" w:firstLineChars="200"/>
        <w:jc w:val="left"/>
        <w:outlineLvl w:val="1"/>
        <w:rPr>
          <w:rFonts w:ascii="Times New Roman" w:hAnsi="Times New Roman"/>
          <w:kern w:val="2"/>
          <w:sz w:val="24"/>
          <w:szCs w:val="24"/>
        </w:rPr>
      </w:pPr>
    </w:p>
    <w:p>
      <w:pPr>
        <w:widowControl/>
        <w:ind w:firstLine="480" w:firstLineChars="200"/>
        <w:jc w:val="left"/>
        <w:outlineLvl w:val="1"/>
        <w:rPr>
          <w:rFonts w:ascii="Times New Roman" w:hAnsi="Times New Roman"/>
          <w:kern w:val="2"/>
          <w:sz w:val="24"/>
          <w:szCs w:val="24"/>
        </w:rPr>
      </w:pPr>
      <w:r>
        <w:rPr>
          <w:rFonts w:hint="eastAsia" w:ascii="Times New Roman" w:hAnsi="Times New Roman"/>
          <w:kern w:val="2"/>
          <w:sz w:val="24"/>
          <w:szCs w:val="24"/>
        </w:rPr>
        <w:t>姓名</w:t>
      </w:r>
      <w:r>
        <w:rPr>
          <w:rFonts w:hint="eastAsia" w:ascii="Times New Roman" w:hAnsi="Times New Roman"/>
          <w:kern w:val="2"/>
          <w:sz w:val="24"/>
          <w:szCs w:val="24"/>
          <w:u w:val="single"/>
        </w:rPr>
        <w:t xml:space="preserve">        </w:t>
      </w:r>
      <w:r>
        <w:rPr>
          <w:rFonts w:hint="eastAsia" w:ascii="Times New Roman" w:hAnsi="Times New Roman"/>
          <w:kern w:val="2"/>
          <w:sz w:val="24"/>
          <w:szCs w:val="24"/>
        </w:rPr>
        <w:t>性别</w:t>
      </w:r>
      <w:r>
        <w:rPr>
          <w:rFonts w:hint="eastAsia" w:ascii="Times New Roman" w:hAnsi="Times New Roman"/>
          <w:kern w:val="2"/>
          <w:sz w:val="24"/>
          <w:szCs w:val="24"/>
          <w:u w:val="single"/>
        </w:rPr>
        <w:t xml:space="preserve">        </w:t>
      </w:r>
      <w:r>
        <w:rPr>
          <w:rFonts w:hint="eastAsia" w:ascii="Times New Roman" w:hAnsi="Times New Roman"/>
          <w:kern w:val="2"/>
          <w:sz w:val="24"/>
          <w:szCs w:val="24"/>
        </w:rPr>
        <w:t>年龄</w:t>
      </w:r>
      <w:r>
        <w:rPr>
          <w:rFonts w:hint="eastAsia" w:ascii="Times New Roman" w:hAnsi="Times New Roman"/>
          <w:kern w:val="2"/>
          <w:sz w:val="24"/>
          <w:szCs w:val="24"/>
          <w:u w:val="single"/>
        </w:rPr>
        <w:t xml:space="preserve">      </w:t>
      </w:r>
      <w:r>
        <w:rPr>
          <w:rFonts w:hint="eastAsia" w:ascii="Times New Roman" w:hAnsi="Times New Roman"/>
          <w:kern w:val="2"/>
          <w:sz w:val="24"/>
          <w:szCs w:val="24"/>
        </w:rPr>
        <w:t xml:space="preserve"> ，在我公司(或者企业、</w:t>
      </w:r>
      <w:r>
        <w:fldChar w:fldCharType="begin"/>
      </w:r>
      <w:r>
        <w:instrText xml:space="preserve"> HYPERLINK "https://baike.so.com/doc/775244-820210.html" \t "https://baike.so.com/doc/_blank" </w:instrText>
      </w:r>
      <w:r>
        <w:fldChar w:fldCharType="separate"/>
      </w:r>
      <w:r>
        <w:rPr>
          <w:rFonts w:hint="eastAsia" w:ascii="Times New Roman" w:hAnsi="Times New Roman"/>
          <w:kern w:val="2"/>
          <w:sz w:val="24"/>
          <w:szCs w:val="24"/>
        </w:rPr>
        <w:t>单位</w:t>
      </w:r>
      <w:r>
        <w:rPr>
          <w:rFonts w:hint="eastAsia" w:ascii="Times New Roman" w:hAnsi="Times New Roman"/>
          <w:kern w:val="2"/>
          <w:sz w:val="24"/>
          <w:szCs w:val="24"/>
        </w:rPr>
        <w:fldChar w:fldCharType="end"/>
      </w:r>
      <w:r>
        <w:rPr>
          <w:rFonts w:hint="eastAsia" w:ascii="Times New Roman" w:hAnsi="Times New Roman"/>
          <w:kern w:val="2"/>
          <w:sz w:val="24"/>
          <w:szCs w:val="24"/>
        </w:rPr>
        <w:t>)任</w:t>
      </w:r>
      <w:r>
        <w:rPr>
          <w:rFonts w:hint="eastAsia" w:ascii="Times New Roman" w:hAnsi="Times New Roman"/>
          <w:kern w:val="2"/>
          <w:sz w:val="24"/>
          <w:szCs w:val="24"/>
          <w:u w:val="single"/>
        </w:rPr>
        <w:t xml:space="preserve">        </w:t>
      </w:r>
      <w:r>
        <w:rPr>
          <w:rFonts w:hint="eastAsia" w:ascii="Times New Roman" w:hAnsi="Times New Roman"/>
          <w:kern w:val="2"/>
          <w:sz w:val="24"/>
          <w:szCs w:val="24"/>
        </w:rPr>
        <w:t>职务，系我公司(或者企业、单位)的法定代表人（负责人）。特此证明。</w:t>
      </w:r>
    </w:p>
    <w:p>
      <w:pPr>
        <w:widowControl/>
        <w:ind w:firstLine="480" w:firstLineChars="200"/>
        <w:jc w:val="left"/>
        <w:outlineLvl w:val="1"/>
        <w:rPr>
          <w:rFonts w:ascii="Times New Roman" w:hAnsi="Times New Roman"/>
          <w:kern w:val="2"/>
          <w:sz w:val="24"/>
          <w:szCs w:val="24"/>
        </w:rPr>
      </w:pPr>
    </w:p>
    <w:p>
      <w:pPr>
        <w:widowControl/>
        <w:ind w:firstLine="480" w:firstLineChars="200"/>
        <w:jc w:val="left"/>
        <w:outlineLvl w:val="1"/>
        <w:rPr>
          <w:rFonts w:ascii="Times New Roman" w:hAnsi="Times New Roman"/>
          <w:kern w:val="2"/>
          <w:sz w:val="24"/>
          <w:szCs w:val="24"/>
        </w:rPr>
      </w:pPr>
    </w:p>
    <w:p>
      <w:pPr>
        <w:widowControl/>
        <w:ind w:right="480" w:firstLine="480" w:firstLineChars="200"/>
        <w:jc w:val="right"/>
        <w:outlineLvl w:val="1"/>
        <w:rPr>
          <w:rFonts w:ascii="Times New Roman" w:hAnsi="Times New Roman"/>
          <w:kern w:val="2"/>
          <w:sz w:val="24"/>
          <w:szCs w:val="24"/>
        </w:rPr>
      </w:pPr>
      <w:r>
        <w:rPr>
          <w:rFonts w:hint="eastAsia" w:ascii="Times New Roman" w:hAnsi="Times New Roman"/>
          <w:kern w:val="2"/>
          <w:sz w:val="24"/>
          <w:szCs w:val="24"/>
        </w:rPr>
        <w:t>单位全称：（签章）</w:t>
      </w:r>
    </w:p>
    <w:p>
      <w:pPr>
        <w:widowControl/>
        <w:ind w:right="480" w:firstLine="480" w:firstLineChars="200"/>
        <w:jc w:val="right"/>
        <w:outlineLvl w:val="1"/>
        <w:rPr>
          <w:rFonts w:ascii="Times New Roman" w:hAnsi="Times New Roman"/>
          <w:kern w:val="2"/>
          <w:sz w:val="24"/>
          <w:szCs w:val="24"/>
        </w:rPr>
      </w:pPr>
    </w:p>
    <w:p>
      <w:pPr>
        <w:widowControl/>
        <w:ind w:right="480" w:firstLine="480" w:firstLineChars="200"/>
        <w:jc w:val="right"/>
        <w:outlineLvl w:val="1"/>
        <w:rPr>
          <w:rFonts w:ascii="Times New Roman" w:hAnsi="Times New Roman"/>
          <w:kern w:val="2"/>
          <w:sz w:val="24"/>
          <w:szCs w:val="24"/>
        </w:rPr>
      </w:pPr>
      <w:r>
        <w:rPr>
          <w:rFonts w:hint="eastAsia" w:ascii="Times New Roman" w:hAnsi="Times New Roman"/>
          <w:kern w:val="2"/>
          <w:sz w:val="24"/>
          <w:szCs w:val="24"/>
        </w:rPr>
        <w:t>年  月  日</w:t>
      </w:r>
    </w:p>
    <w:tbl>
      <w:tblPr>
        <w:tblStyle w:val="20"/>
        <w:tblpPr w:leftFromText="180" w:rightFromText="180" w:vertAnchor="text" w:horzAnchor="page" w:tblpX="3182" w:tblpY="695"/>
        <w:tblW w:w="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8" w:type="dxa"/>
          </w:tcPr>
          <w:p>
            <w:pPr>
              <w:spacing w:before="100" w:beforeAutospacing="1" w:after="100" w:afterAutospacing="1"/>
              <w:rPr>
                <w:sz w:val="24"/>
              </w:rPr>
            </w:pPr>
            <w:r>
              <w:rPr>
                <w:rFonts w:hint="eastAsia"/>
                <w:sz w:val="24"/>
              </w:rPr>
              <w:t>法定代表人（负责人）身份证复印件（或扫描件）（双面）</w:t>
            </w:r>
          </w:p>
        </w:tc>
      </w:tr>
    </w:tbl>
    <w:p>
      <w:pPr>
        <w:widowControl/>
        <w:spacing w:before="269" w:beforeLines="50" w:after="269" w:afterLines="50" w:line="360" w:lineRule="auto"/>
        <w:jc w:val="left"/>
        <w:outlineLvl w:val="1"/>
        <w:rPr>
          <w:rFonts w:cs="宋体"/>
          <w:b/>
          <w:bCs/>
          <w:sz w:val="32"/>
          <w:szCs w:val="32"/>
        </w:rPr>
      </w:pPr>
      <w:r>
        <w:rPr>
          <w:rFonts w:hint="eastAsia" w:cs="宋体"/>
          <w:b/>
          <w:bCs/>
          <w:sz w:val="32"/>
          <w:szCs w:val="32"/>
        </w:rPr>
        <w:br w:type="page"/>
      </w:r>
    </w:p>
    <w:p>
      <w:pPr>
        <w:widowControl/>
        <w:spacing w:before="269" w:beforeLines="50" w:after="269" w:afterLines="50" w:line="360" w:lineRule="auto"/>
        <w:jc w:val="center"/>
        <w:outlineLvl w:val="1"/>
        <w:rPr>
          <w:b/>
        </w:rPr>
      </w:pPr>
      <w:r>
        <w:rPr>
          <w:rFonts w:hint="eastAsia" w:cs="宋体"/>
          <w:b/>
          <w:bCs/>
          <w:sz w:val="32"/>
          <w:szCs w:val="32"/>
        </w:rPr>
        <w:t>授权委托书</w:t>
      </w:r>
    </w:p>
    <w:p>
      <w:pPr>
        <w:tabs>
          <w:tab w:val="left" w:pos="8280"/>
        </w:tabs>
        <w:spacing w:line="360" w:lineRule="auto"/>
        <w:rPr>
          <w:sz w:val="24"/>
        </w:rPr>
      </w:pPr>
      <w:r>
        <w:rPr>
          <w:rFonts w:hint="eastAsia"/>
          <w:bCs/>
          <w:sz w:val="24"/>
        </w:rPr>
        <w:t>唐山市科学技术协会</w:t>
      </w:r>
      <w:r>
        <w:rPr>
          <w:rFonts w:hint="eastAsia"/>
          <w:sz w:val="24"/>
        </w:rPr>
        <w:t>：</w:t>
      </w:r>
    </w:p>
    <w:p>
      <w:pPr>
        <w:tabs>
          <w:tab w:val="left" w:pos="8280"/>
        </w:tabs>
        <w:spacing w:line="360" w:lineRule="auto"/>
        <w:ind w:firstLine="480"/>
        <w:rPr>
          <w:sz w:val="24"/>
        </w:rPr>
      </w:pPr>
      <w:r>
        <w:rPr>
          <w:rFonts w:hint="eastAsia"/>
          <w:sz w:val="24"/>
        </w:rPr>
        <w:t xml:space="preserve"> 兹委托</w:t>
      </w:r>
      <w:r>
        <w:rPr>
          <w:rFonts w:hint="eastAsia"/>
          <w:sz w:val="24"/>
          <w:u w:val="single"/>
        </w:rPr>
        <w:t xml:space="preserve">      </w:t>
      </w:r>
      <w:r>
        <w:rPr>
          <w:rFonts w:hint="eastAsia"/>
          <w:sz w:val="24"/>
        </w:rPr>
        <w:t>参加贵单位组织的项目编号为</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项目的采购活动，全权代表我单位处理谈判的有关事宜。</w:t>
      </w:r>
    </w:p>
    <w:p>
      <w:pPr>
        <w:tabs>
          <w:tab w:val="left" w:pos="8280"/>
        </w:tabs>
        <w:spacing w:line="360" w:lineRule="auto"/>
        <w:rPr>
          <w:sz w:val="24"/>
        </w:rPr>
      </w:pPr>
      <w:r>
        <w:rPr>
          <w:rFonts w:hint="eastAsia"/>
          <w:sz w:val="24"/>
        </w:rPr>
        <w:t>附全权代表情况：</w:t>
      </w:r>
    </w:p>
    <w:p>
      <w:pPr>
        <w:tabs>
          <w:tab w:val="left" w:pos="8280"/>
        </w:tabs>
        <w:spacing w:line="360" w:lineRule="auto"/>
        <w:rPr>
          <w:sz w:val="24"/>
          <w:u w:val="single"/>
        </w:rPr>
      </w:pPr>
      <w:r>
        <w:rPr>
          <w:rFonts w:hint="eastAsia"/>
          <w:sz w:val="24"/>
        </w:rPr>
        <w:t>姓名：</w:t>
      </w:r>
      <w:r>
        <w:rPr>
          <w:rFonts w:hint="eastAsia"/>
          <w:sz w:val="24"/>
          <w:u w:val="single"/>
        </w:rPr>
        <w:t xml:space="preserve">         </w:t>
      </w:r>
      <w:r>
        <w:rPr>
          <w:rFonts w:hint="eastAsia"/>
          <w:sz w:val="24"/>
        </w:rPr>
        <w:t xml:space="preserve"> 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pPr>
        <w:tabs>
          <w:tab w:val="left" w:pos="8280"/>
        </w:tabs>
        <w:spacing w:line="360" w:lineRule="auto"/>
        <w:rPr>
          <w:sz w:val="24"/>
        </w:rPr>
      </w:pPr>
      <w:r>
        <w:rPr>
          <w:rFonts w:hint="eastAsia"/>
          <w:sz w:val="24"/>
        </w:rPr>
        <w:t>身份证号码：</w:t>
      </w:r>
      <w:r>
        <w:rPr>
          <w:rFonts w:hint="eastAsia"/>
          <w:sz w:val="24"/>
          <w:u w:val="single"/>
        </w:rPr>
        <w:t xml:space="preserve">                                          </w:t>
      </w:r>
    </w:p>
    <w:p>
      <w:pPr>
        <w:tabs>
          <w:tab w:val="left" w:pos="8280"/>
        </w:tabs>
        <w:spacing w:line="360" w:lineRule="auto"/>
        <w:rPr>
          <w:sz w:val="24"/>
          <w:u w:val="single"/>
        </w:rPr>
      </w:pPr>
      <w:r>
        <w:rPr>
          <w:rFonts w:hint="eastAsia"/>
          <w:sz w:val="24"/>
        </w:rPr>
        <w:t xml:space="preserve">详细通讯地址： </w:t>
      </w:r>
      <w:r>
        <w:rPr>
          <w:rFonts w:hint="eastAsia"/>
          <w:sz w:val="24"/>
          <w:u w:val="single"/>
        </w:rPr>
        <w:t xml:space="preserve">                                       </w:t>
      </w:r>
    </w:p>
    <w:p>
      <w:pPr>
        <w:tabs>
          <w:tab w:val="left" w:pos="8280"/>
        </w:tabs>
        <w:spacing w:line="360" w:lineRule="auto"/>
        <w:rPr>
          <w:sz w:val="24"/>
        </w:rPr>
      </w:pPr>
      <w:r>
        <w:rPr>
          <w:rFonts w:hint="eastAsia"/>
          <w:sz w:val="24"/>
        </w:rPr>
        <w:t>电话：</w:t>
      </w:r>
      <w:r>
        <w:rPr>
          <w:rFonts w:hint="eastAsia"/>
          <w:sz w:val="24"/>
          <w:u w:val="single"/>
        </w:rPr>
        <w:t xml:space="preserve">                 </w:t>
      </w:r>
      <w:r>
        <w:rPr>
          <w:rFonts w:hint="eastAsia"/>
          <w:sz w:val="24"/>
        </w:rPr>
        <w:t>传真：</w:t>
      </w:r>
      <w:r>
        <w:rPr>
          <w:rFonts w:hint="eastAsia"/>
          <w:sz w:val="24"/>
          <w:u w:val="single"/>
        </w:rPr>
        <w:t xml:space="preserve">                       </w:t>
      </w:r>
      <w:r>
        <w:rPr>
          <w:rFonts w:hint="eastAsia"/>
          <w:sz w:val="24"/>
        </w:rPr>
        <w:t xml:space="preserve"> </w:t>
      </w:r>
    </w:p>
    <w:p>
      <w:pPr>
        <w:tabs>
          <w:tab w:val="left" w:pos="8280"/>
        </w:tabs>
        <w:spacing w:line="360" w:lineRule="auto"/>
        <w:rPr>
          <w:sz w:val="24"/>
        </w:rPr>
      </w:pPr>
      <w:r>
        <w:rPr>
          <w:rFonts w:hint="eastAsia"/>
          <w:sz w:val="24"/>
        </w:rPr>
        <w:t>邮政编码：</w:t>
      </w:r>
      <w:r>
        <w:rPr>
          <w:rFonts w:hint="eastAsia"/>
          <w:sz w:val="24"/>
          <w:u w:val="single"/>
        </w:rPr>
        <w:t xml:space="preserve">                       </w:t>
      </w:r>
      <w:r>
        <w:rPr>
          <w:rFonts w:hint="eastAsia"/>
          <w:sz w:val="24"/>
        </w:rPr>
        <w:t xml:space="preserve">  </w:t>
      </w:r>
    </w:p>
    <w:p>
      <w:pPr>
        <w:tabs>
          <w:tab w:val="left" w:pos="8280"/>
        </w:tabs>
        <w:spacing w:line="360" w:lineRule="auto"/>
        <w:rPr>
          <w:sz w:val="24"/>
        </w:rPr>
      </w:pPr>
      <w:r>
        <w:rPr>
          <w:rFonts w:hint="eastAsia"/>
          <w:sz w:val="24"/>
        </w:rPr>
        <w:t xml:space="preserve">                  </w:t>
      </w:r>
    </w:p>
    <w:p>
      <w:pPr>
        <w:tabs>
          <w:tab w:val="left" w:pos="8280"/>
        </w:tabs>
        <w:rPr>
          <w:sz w:val="24"/>
        </w:rPr>
      </w:pPr>
      <w:r>
        <w:rPr>
          <w:rFonts w:hint="eastAsia"/>
          <w:sz w:val="24"/>
        </w:rPr>
        <w:t>投标人（全称）:（签章）            法定代表人（负责人）：（签名或签章）</w:t>
      </w:r>
    </w:p>
    <w:p>
      <w:pPr>
        <w:tabs>
          <w:tab w:val="left" w:pos="8280"/>
        </w:tabs>
        <w:ind w:firstLine="3120" w:firstLineChars="1300"/>
        <w:rPr>
          <w:sz w:val="24"/>
        </w:rPr>
      </w:pPr>
      <w:r>
        <w:rPr>
          <w:rFonts w:hint="eastAsia"/>
          <w:sz w:val="24"/>
        </w:rPr>
        <w:t xml:space="preserve">                     </w:t>
      </w:r>
    </w:p>
    <w:p>
      <w:pPr>
        <w:tabs>
          <w:tab w:val="left" w:pos="8280"/>
        </w:tabs>
        <w:ind w:firstLine="3120" w:firstLineChars="1300"/>
        <w:jc w:val="center"/>
      </w:pPr>
      <w:r>
        <w:rPr>
          <w:rFonts w:hint="eastAsia"/>
          <w:sz w:val="24"/>
        </w:rPr>
        <w:t>年   月    日</w:t>
      </w:r>
    </w:p>
    <w:p>
      <w:pPr>
        <w:jc w:val="center"/>
      </w:pPr>
    </w:p>
    <w:p>
      <w:pPr>
        <w:rPr>
          <w:vanish/>
        </w:rPr>
      </w:pPr>
    </w:p>
    <w:tbl>
      <w:tblPr>
        <w:tblStyle w:val="20"/>
        <w:tblpPr w:leftFromText="180" w:rightFromText="180" w:vertAnchor="text" w:horzAnchor="page" w:tblpX="2966" w:tblpY="462"/>
        <w:tblW w:w="4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4258" w:type="dxa"/>
          </w:tcPr>
          <w:p>
            <w:pPr>
              <w:spacing w:before="100" w:beforeAutospacing="1" w:after="100" w:afterAutospacing="1"/>
              <w:rPr>
                <w:sz w:val="24"/>
              </w:rPr>
            </w:pPr>
            <w:r>
              <w:rPr>
                <w:rFonts w:hint="eastAsia"/>
                <w:sz w:val="24"/>
              </w:rPr>
              <w:t>授权委托人身份证复印件（或扫描件）（双面）</w:t>
            </w:r>
          </w:p>
          <w:p>
            <w:pPr>
              <w:spacing w:before="100" w:beforeAutospacing="1" w:after="100" w:afterAutospacing="1"/>
              <w:rPr>
                <w:sz w:val="24"/>
              </w:rPr>
            </w:pPr>
          </w:p>
        </w:tc>
      </w:tr>
    </w:tbl>
    <w:p>
      <w:pPr>
        <w:spacing w:before="100" w:beforeAutospacing="1" w:after="100" w:afterAutospacing="1"/>
        <w:ind w:left="236" w:hanging="236" w:hangingChars="98"/>
        <w:jc w:val="center"/>
        <w:rPr>
          <w:b/>
          <w:sz w:val="24"/>
        </w:rPr>
      </w:pPr>
    </w:p>
    <w:p>
      <w:pPr>
        <w:spacing w:before="100" w:beforeAutospacing="1" w:after="100" w:afterAutospacing="1"/>
        <w:ind w:left="236" w:hanging="236" w:hangingChars="98"/>
        <w:jc w:val="center"/>
        <w:rPr>
          <w:b/>
          <w:sz w:val="24"/>
        </w:rPr>
      </w:pPr>
    </w:p>
    <w:p>
      <w:pPr>
        <w:widowControl/>
        <w:spacing w:before="269" w:beforeLines="50" w:after="269" w:afterLines="50" w:line="360" w:lineRule="auto"/>
        <w:jc w:val="left"/>
        <w:outlineLvl w:val="1"/>
        <w:rPr>
          <w:rFonts w:cs="宋体"/>
          <w:b/>
          <w:bCs/>
          <w:sz w:val="32"/>
          <w:szCs w:val="32"/>
        </w:rPr>
      </w:pPr>
    </w:p>
    <w:p>
      <w:pPr>
        <w:widowControl/>
        <w:spacing w:before="269" w:beforeLines="50" w:after="269" w:afterLines="50" w:line="360" w:lineRule="auto"/>
        <w:jc w:val="center"/>
        <w:outlineLvl w:val="1"/>
        <w:rPr>
          <w:rFonts w:cs="宋体"/>
          <w:b/>
          <w:bCs/>
          <w:sz w:val="32"/>
          <w:szCs w:val="32"/>
        </w:rPr>
      </w:pPr>
      <w:r>
        <w:rPr>
          <w:rFonts w:hint="eastAsia" w:cs="宋体"/>
          <w:b/>
          <w:bCs/>
          <w:sz w:val="32"/>
          <w:szCs w:val="32"/>
        </w:rPr>
        <w:t>八、近三年同类项目经验案例</w:t>
      </w:r>
    </w:p>
    <w:p>
      <w:pPr>
        <w:spacing w:line="360" w:lineRule="auto"/>
        <w:ind w:right="1" w:firstLine="240" w:firstLineChars="100"/>
        <w:rPr>
          <w:bCs/>
          <w:sz w:val="32"/>
          <w:szCs w:val="32"/>
          <w:u w:val="single"/>
        </w:rPr>
      </w:pPr>
      <w:r>
        <w:rPr>
          <w:rFonts w:hint="eastAsia"/>
          <w:sz w:val="24"/>
        </w:rPr>
        <w:t>投标人名称</w:t>
      </w:r>
      <w:r>
        <w:rPr>
          <w:sz w:val="24"/>
        </w:rPr>
        <w:t xml:space="preserve">: </w:t>
      </w:r>
      <w:r>
        <w:rPr>
          <w:rFonts w:hint="eastAsia"/>
          <w:sz w:val="24"/>
          <w:u w:val="single"/>
        </w:rPr>
        <w:t>（签章）</w:t>
      </w:r>
    </w:p>
    <w:tbl>
      <w:tblPr>
        <w:tblStyle w:val="20"/>
        <w:tblW w:w="9187" w:type="dxa"/>
        <w:jc w:val="center"/>
        <w:tblLayout w:type="fixed"/>
        <w:tblCellMar>
          <w:top w:w="0" w:type="dxa"/>
          <w:left w:w="0" w:type="dxa"/>
          <w:bottom w:w="0" w:type="dxa"/>
          <w:right w:w="0" w:type="dxa"/>
        </w:tblCellMar>
      </w:tblPr>
      <w:tblGrid>
        <w:gridCol w:w="1056"/>
        <w:gridCol w:w="1586"/>
        <w:gridCol w:w="1392"/>
        <w:gridCol w:w="1524"/>
        <w:gridCol w:w="1315"/>
        <w:gridCol w:w="1464"/>
        <w:gridCol w:w="850"/>
      </w:tblGrid>
      <w:tr>
        <w:tblPrEx>
          <w:tblCellMar>
            <w:top w:w="0" w:type="dxa"/>
            <w:left w:w="0" w:type="dxa"/>
            <w:bottom w:w="0" w:type="dxa"/>
            <w:right w:w="0" w:type="dxa"/>
          </w:tblCellMar>
        </w:tblPrEx>
        <w:trPr>
          <w:cantSplit/>
          <w:trHeight w:val="1519" w:hRule="exact"/>
          <w:jc w:val="center"/>
        </w:trPr>
        <w:tc>
          <w:tcPr>
            <w:tcW w:w="1056" w:type="dxa"/>
            <w:tcBorders>
              <w:top w:val="single" w:color="000008" w:sz="4" w:space="0"/>
              <w:left w:val="single" w:color="000008" w:sz="4" w:space="0"/>
              <w:bottom w:val="single" w:color="000008" w:sz="4" w:space="0"/>
              <w:right w:val="single" w:color="000008" w:sz="4" w:space="0"/>
            </w:tcBorders>
          </w:tcPr>
          <w:p>
            <w:pPr>
              <w:pStyle w:val="35"/>
              <w:spacing w:before="4" w:line="300" w:lineRule="exact"/>
              <w:ind w:left="560"/>
              <w:jc w:val="center"/>
              <w:rPr>
                <w:rFonts w:cs="宋体"/>
                <w:bCs/>
                <w:sz w:val="24"/>
                <w:szCs w:val="24"/>
              </w:rPr>
            </w:pPr>
          </w:p>
          <w:p>
            <w:pPr>
              <w:pStyle w:val="35"/>
              <w:jc w:val="center"/>
              <w:rPr>
                <w:rFonts w:cs="宋体"/>
                <w:bCs/>
                <w:sz w:val="24"/>
                <w:szCs w:val="24"/>
              </w:rPr>
            </w:pPr>
            <w:r>
              <w:rPr>
                <w:rFonts w:hint="eastAsia" w:cs="宋体"/>
                <w:bCs/>
                <w:sz w:val="24"/>
                <w:szCs w:val="24"/>
              </w:rPr>
              <w:t>序号</w:t>
            </w:r>
          </w:p>
        </w:tc>
        <w:tc>
          <w:tcPr>
            <w:tcW w:w="1586" w:type="dxa"/>
            <w:tcBorders>
              <w:top w:val="single" w:color="000008" w:sz="4" w:space="0"/>
              <w:left w:val="single" w:color="000008" w:sz="4" w:space="0"/>
              <w:bottom w:val="single" w:color="000008" w:sz="4" w:space="0"/>
              <w:right w:val="single" w:color="000008" w:sz="4" w:space="0"/>
            </w:tcBorders>
          </w:tcPr>
          <w:p>
            <w:pPr>
              <w:pStyle w:val="35"/>
              <w:spacing w:before="4" w:line="300" w:lineRule="exact"/>
              <w:ind w:left="560"/>
              <w:jc w:val="center"/>
              <w:rPr>
                <w:rFonts w:cs="宋体"/>
                <w:bCs/>
                <w:sz w:val="24"/>
                <w:szCs w:val="24"/>
              </w:rPr>
            </w:pPr>
          </w:p>
          <w:p>
            <w:pPr>
              <w:pStyle w:val="35"/>
              <w:jc w:val="center"/>
              <w:rPr>
                <w:rFonts w:cs="宋体"/>
                <w:bCs/>
                <w:sz w:val="24"/>
                <w:szCs w:val="24"/>
              </w:rPr>
            </w:pPr>
            <w:r>
              <w:rPr>
                <w:rFonts w:hint="eastAsia" w:cs="宋体"/>
                <w:bCs/>
                <w:sz w:val="24"/>
                <w:szCs w:val="24"/>
              </w:rPr>
              <w:t>合同名称</w:t>
            </w:r>
          </w:p>
        </w:tc>
        <w:tc>
          <w:tcPr>
            <w:tcW w:w="1392" w:type="dxa"/>
            <w:tcBorders>
              <w:top w:val="single" w:color="000008" w:sz="4" w:space="0"/>
              <w:left w:val="single" w:color="000008" w:sz="4" w:space="0"/>
              <w:bottom w:val="single" w:color="000008" w:sz="4" w:space="0"/>
              <w:right w:val="single" w:color="000008" w:sz="4" w:space="0"/>
            </w:tcBorders>
          </w:tcPr>
          <w:p>
            <w:pPr>
              <w:pStyle w:val="35"/>
              <w:spacing w:before="4" w:line="300" w:lineRule="exact"/>
              <w:ind w:left="560"/>
              <w:jc w:val="center"/>
              <w:rPr>
                <w:rFonts w:cs="宋体"/>
                <w:bCs/>
                <w:sz w:val="24"/>
                <w:szCs w:val="24"/>
              </w:rPr>
            </w:pPr>
          </w:p>
          <w:p>
            <w:pPr>
              <w:pStyle w:val="35"/>
              <w:jc w:val="center"/>
              <w:rPr>
                <w:rFonts w:cs="宋体"/>
                <w:bCs/>
                <w:sz w:val="24"/>
                <w:szCs w:val="24"/>
              </w:rPr>
            </w:pPr>
            <w:r>
              <w:rPr>
                <w:rFonts w:hint="eastAsia" w:cs="宋体"/>
                <w:bCs/>
                <w:sz w:val="24"/>
                <w:szCs w:val="24"/>
              </w:rPr>
              <w:t>采购单位</w:t>
            </w:r>
          </w:p>
        </w:tc>
        <w:tc>
          <w:tcPr>
            <w:tcW w:w="1524" w:type="dxa"/>
            <w:tcBorders>
              <w:top w:val="single" w:color="000008" w:sz="4" w:space="0"/>
              <w:left w:val="single" w:color="000008" w:sz="4" w:space="0"/>
              <w:bottom w:val="single" w:color="000008" w:sz="4" w:space="0"/>
              <w:right w:val="single" w:color="000008" w:sz="4" w:space="0"/>
            </w:tcBorders>
          </w:tcPr>
          <w:p>
            <w:pPr>
              <w:pStyle w:val="35"/>
              <w:spacing w:before="4" w:line="300" w:lineRule="exact"/>
              <w:ind w:left="560"/>
              <w:jc w:val="center"/>
              <w:rPr>
                <w:rFonts w:cs="宋体"/>
                <w:bCs/>
                <w:sz w:val="24"/>
                <w:szCs w:val="24"/>
              </w:rPr>
            </w:pPr>
          </w:p>
          <w:p>
            <w:pPr>
              <w:pStyle w:val="35"/>
              <w:jc w:val="center"/>
              <w:rPr>
                <w:rFonts w:cs="宋体"/>
                <w:bCs/>
                <w:sz w:val="24"/>
                <w:szCs w:val="24"/>
              </w:rPr>
            </w:pPr>
            <w:r>
              <w:rPr>
                <w:rFonts w:hint="eastAsia" w:cs="宋体"/>
                <w:bCs/>
                <w:sz w:val="24"/>
                <w:szCs w:val="24"/>
              </w:rPr>
              <w:t>签署日期</w:t>
            </w:r>
          </w:p>
        </w:tc>
        <w:tc>
          <w:tcPr>
            <w:tcW w:w="1315" w:type="dxa"/>
            <w:tcBorders>
              <w:top w:val="single" w:color="000008" w:sz="4" w:space="0"/>
              <w:left w:val="single" w:color="000008" w:sz="4" w:space="0"/>
              <w:bottom w:val="single" w:color="000008" w:sz="4" w:space="0"/>
              <w:right w:val="single" w:color="000008" w:sz="4" w:space="0"/>
            </w:tcBorders>
          </w:tcPr>
          <w:p>
            <w:pPr>
              <w:pStyle w:val="35"/>
              <w:spacing w:before="4" w:line="300" w:lineRule="exact"/>
              <w:ind w:left="560"/>
              <w:jc w:val="center"/>
              <w:rPr>
                <w:rFonts w:cs="宋体"/>
                <w:bCs/>
                <w:sz w:val="24"/>
                <w:szCs w:val="24"/>
              </w:rPr>
            </w:pPr>
          </w:p>
          <w:p>
            <w:pPr>
              <w:pStyle w:val="35"/>
              <w:jc w:val="center"/>
              <w:rPr>
                <w:rFonts w:cs="宋体"/>
                <w:bCs/>
                <w:sz w:val="24"/>
                <w:szCs w:val="24"/>
              </w:rPr>
            </w:pPr>
            <w:r>
              <w:rPr>
                <w:rFonts w:hint="eastAsia" w:cs="宋体"/>
                <w:bCs/>
                <w:sz w:val="24"/>
                <w:szCs w:val="24"/>
              </w:rPr>
              <w:t>合同金额</w:t>
            </w:r>
          </w:p>
        </w:tc>
        <w:tc>
          <w:tcPr>
            <w:tcW w:w="1464" w:type="dxa"/>
            <w:tcBorders>
              <w:top w:val="single" w:color="000008" w:sz="4" w:space="0"/>
              <w:left w:val="single" w:color="000008" w:sz="4" w:space="0"/>
              <w:bottom w:val="single" w:color="000008" w:sz="4" w:space="0"/>
              <w:right w:val="single" w:color="000008" w:sz="4" w:space="0"/>
            </w:tcBorders>
          </w:tcPr>
          <w:p>
            <w:pPr>
              <w:pStyle w:val="35"/>
              <w:spacing w:before="20" w:line="330" w:lineRule="auto"/>
              <w:ind w:right="124"/>
              <w:jc w:val="center"/>
              <w:rPr>
                <w:rFonts w:cs="宋体"/>
                <w:bCs/>
                <w:sz w:val="24"/>
                <w:szCs w:val="24"/>
              </w:rPr>
            </w:pPr>
            <w:r>
              <w:rPr>
                <w:rFonts w:hint="eastAsia" w:cs="宋体"/>
                <w:bCs/>
                <w:sz w:val="24"/>
                <w:szCs w:val="24"/>
              </w:rPr>
              <w:t>采购方联系人及电话</w:t>
            </w:r>
          </w:p>
        </w:tc>
        <w:tc>
          <w:tcPr>
            <w:tcW w:w="850" w:type="dxa"/>
            <w:tcBorders>
              <w:top w:val="single" w:color="000008" w:sz="4" w:space="0"/>
              <w:left w:val="single" w:color="000008" w:sz="4" w:space="0"/>
              <w:bottom w:val="single" w:color="000008" w:sz="4" w:space="0"/>
              <w:right w:val="single" w:color="000008" w:sz="4" w:space="0"/>
            </w:tcBorders>
          </w:tcPr>
          <w:p>
            <w:pPr>
              <w:pStyle w:val="35"/>
              <w:spacing w:before="4" w:line="300" w:lineRule="exact"/>
              <w:ind w:left="560"/>
              <w:jc w:val="center"/>
              <w:rPr>
                <w:rFonts w:cs="宋体"/>
                <w:bCs/>
                <w:sz w:val="24"/>
                <w:szCs w:val="24"/>
              </w:rPr>
            </w:pPr>
          </w:p>
          <w:p>
            <w:pPr>
              <w:pStyle w:val="35"/>
              <w:jc w:val="center"/>
              <w:rPr>
                <w:rFonts w:cs="宋体"/>
                <w:bCs/>
                <w:sz w:val="24"/>
                <w:szCs w:val="24"/>
              </w:rPr>
            </w:pPr>
            <w:r>
              <w:rPr>
                <w:rFonts w:hint="eastAsia" w:cs="宋体"/>
                <w:bCs/>
                <w:sz w:val="24"/>
                <w:szCs w:val="24"/>
              </w:rPr>
              <w:t>备注</w:t>
            </w:r>
          </w:p>
        </w:tc>
      </w:tr>
      <w:tr>
        <w:tblPrEx>
          <w:tblCellMar>
            <w:top w:w="0" w:type="dxa"/>
            <w:left w:w="0" w:type="dxa"/>
            <w:bottom w:w="0" w:type="dxa"/>
            <w:right w:w="0" w:type="dxa"/>
          </w:tblCellMar>
        </w:tblPrEx>
        <w:trPr>
          <w:trHeight w:val="1134" w:hRule="exact"/>
          <w:jc w:val="center"/>
        </w:trPr>
        <w:tc>
          <w:tcPr>
            <w:tcW w:w="1056" w:type="dxa"/>
            <w:tcBorders>
              <w:top w:val="single" w:color="000008" w:sz="4" w:space="0"/>
              <w:left w:val="single" w:color="000008" w:sz="4" w:space="0"/>
              <w:bottom w:val="single" w:color="000008" w:sz="4" w:space="0"/>
              <w:right w:val="single" w:color="000008" w:sz="4" w:space="0"/>
            </w:tcBorders>
          </w:tcPr>
          <w:p>
            <w:pPr>
              <w:pStyle w:val="35"/>
              <w:spacing w:before="11" w:line="240" w:lineRule="exact"/>
              <w:ind w:left="560"/>
              <w:jc w:val="center"/>
              <w:rPr>
                <w:sz w:val="24"/>
                <w:szCs w:val="24"/>
              </w:rPr>
            </w:pPr>
          </w:p>
          <w:p>
            <w:pPr>
              <w:pStyle w:val="35"/>
              <w:ind w:left="560" w:right="443"/>
              <w:jc w:val="center"/>
              <w:rPr>
                <w:rFonts w:cs="宋体"/>
                <w:sz w:val="24"/>
                <w:szCs w:val="24"/>
              </w:rPr>
            </w:pPr>
          </w:p>
        </w:tc>
        <w:tc>
          <w:tcPr>
            <w:tcW w:w="1586" w:type="dxa"/>
            <w:tcBorders>
              <w:top w:val="single" w:color="000008" w:sz="4" w:space="0"/>
              <w:left w:val="single" w:color="000008" w:sz="4" w:space="0"/>
              <w:bottom w:val="single" w:color="000008" w:sz="4" w:space="0"/>
              <w:right w:val="single" w:color="000008" w:sz="4" w:space="0"/>
            </w:tcBorders>
          </w:tcPr>
          <w:p>
            <w:pPr>
              <w:jc w:val="center"/>
            </w:pPr>
          </w:p>
        </w:tc>
        <w:tc>
          <w:tcPr>
            <w:tcW w:w="1392" w:type="dxa"/>
            <w:tcBorders>
              <w:top w:val="single" w:color="000008" w:sz="4" w:space="0"/>
              <w:left w:val="single" w:color="000008" w:sz="4" w:space="0"/>
              <w:bottom w:val="single" w:color="000008" w:sz="4" w:space="0"/>
              <w:right w:val="single" w:color="000008" w:sz="4" w:space="0"/>
            </w:tcBorders>
          </w:tcPr>
          <w:p>
            <w:pPr>
              <w:jc w:val="center"/>
            </w:pPr>
          </w:p>
        </w:tc>
        <w:tc>
          <w:tcPr>
            <w:tcW w:w="1524" w:type="dxa"/>
            <w:tcBorders>
              <w:top w:val="single" w:color="000008" w:sz="4" w:space="0"/>
              <w:left w:val="single" w:color="000008" w:sz="4" w:space="0"/>
              <w:bottom w:val="single" w:color="000008" w:sz="4" w:space="0"/>
              <w:right w:val="single" w:color="000008" w:sz="4" w:space="0"/>
            </w:tcBorders>
          </w:tcPr>
          <w:p>
            <w:pPr>
              <w:jc w:val="center"/>
            </w:pPr>
          </w:p>
        </w:tc>
        <w:tc>
          <w:tcPr>
            <w:tcW w:w="1315" w:type="dxa"/>
            <w:tcBorders>
              <w:top w:val="single" w:color="000008" w:sz="4" w:space="0"/>
              <w:left w:val="single" w:color="000008" w:sz="4" w:space="0"/>
              <w:bottom w:val="single" w:color="000008" w:sz="4" w:space="0"/>
              <w:right w:val="single" w:color="000008" w:sz="4" w:space="0"/>
            </w:tcBorders>
          </w:tcPr>
          <w:p>
            <w:pPr>
              <w:jc w:val="center"/>
            </w:pPr>
          </w:p>
        </w:tc>
        <w:tc>
          <w:tcPr>
            <w:tcW w:w="1464" w:type="dxa"/>
            <w:tcBorders>
              <w:top w:val="single" w:color="000008" w:sz="4" w:space="0"/>
              <w:left w:val="single" w:color="000008" w:sz="4" w:space="0"/>
              <w:bottom w:val="single" w:color="000008" w:sz="4" w:space="0"/>
              <w:right w:val="single" w:color="000008" w:sz="4" w:space="0"/>
            </w:tcBorders>
          </w:tcPr>
          <w:p>
            <w:pPr>
              <w:jc w:val="center"/>
            </w:pPr>
          </w:p>
        </w:tc>
        <w:tc>
          <w:tcPr>
            <w:tcW w:w="850" w:type="dxa"/>
            <w:tcBorders>
              <w:top w:val="single" w:color="000008" w:sz="4" w:space="0"/>
              <w:left w:val="single" w:color="000008" w:sz="4" w:space="0"/>
              <w:bottom w:val="single" w:color="000008" w:sz="4" w:space="0"/>
              <w:right w:val="single" w:color="000008" w:sz="4" w:space="0"/>
            </w:tcBorders>
          </w:tcPr>
          <w:p>
            <w:pPr>
              <w:jc w:val="center"/>
            </w:pPr>
          </w:p>
        </w:tc>
      </w:tr>
      <w:tr>
        <w:tblPrEx>
          <w:tblCellMar>
            <w:top w:w="0" w:type="dxa"/>
            <w:left w:w="0" w:type="dxa"/>
            <w:bottom w:w="0" w:type="dxa"/>
            <w:right w:w="0" w:type="dxa"/>
          </w:tblCellMar>
        </w:tblPrEx>
        <w:trPr>
          <w:trHeight w:val="1134" w:hRule="exact"/>
          <w:jc w:val="center"/>
        </w:trPr>
        <w:tc>
          <w:tcPr>
            <w:tcW w:w="1056" w:type="dxa"/>
            <w:tcBorders>
              <w:top w:val="single" w:color="000008" w:sz="4" w:space="0"/>
              <w:left w:val="single" w:color="000008" w:sz="4" w:space="0"/>
              <w:bottom w:val="single" w:color="000008" w:sz="4" w:space="0"/>
              <w:right w:val="single" w:color="000008" w:sz="4" w:space="0"/>
            </w:tcBorders>
          </w:tcPr>
          <w:p>
            <w:pPr>
              <w:pStyle w:val="35"/>
              <w:spacing w:before="13" w:line="260" w:lineRule="exact"/>
              <w:ind w:left="560"/>
              <w:jc w:val="center"/>
              <w:rPr>
                <w:sz w:val="26"/>
                <w:szCs w:val="26"/>
              </w:rPr>
            </w:pPr>
          </w:p>
          <w:p>
            <w:pPr>
              <w:pStyle w:val="35"/>
              <w:ind w:left="560" w:right="443"/>
              <w:jc w:val="center"/>
              <w:rPr>
                <w:rFonts w:cs="宋体"/>
                <w:sz w:val="24"/>
                <w:szCs w:val="24"/>
              </w:rPr>
            </w:pPr>
          </w:p>
        </w:tc>
        <w:tc>
          <w:tcPr>
            <w:tcW w:w="1586" w:type="dxa"/>
            <w:tcBorders>
              <w:top w:val="single" w:color="000008" w:sz="4" w:space="0"/>
              <w:left w:val="single" w:color="000008" w:sz="4" w:space="0"/>
              <w:bottom w:val="single" w:color="000008" w:sz="4" w:space="0"/>
              <w:right w:val="single" w:color="000008" w:sz="4" w:space="0"/>
            </w:tcBorders>
          </w:tcPr>
          <w:p>
            <w:pPr>
              <w:jc w:val="center"/>
            </w:pPr>
          </w:p>
        </w:tc>
        <w:tc>
          <w:tcPr>
            <w:tcW w:w="1392" w:type="dxa"/>
            <w:tcBorders>
              <w:top w:val="single" w:color="000008" w:sz="4" w:space="0"/>
              <w:left w:val="single" w:color="000008" w:sz="4" w:space="0"/>
              <w:bottom w:val="single" w:color="000008" w:sz="4" w:space="0"/>
              <w:right w:val="single" w:color="000008" w:sz="4" w:space="0"/>
            </w:tcBorders>
          </w:tcPr>
          <w:p>
            <w:pPr>
              <w:jc w:val="center"/>
            </w:pPr>
          </w:p>
        </w:tc>
        <w:tc>
          <w:tcPr>
            <w:tcW w:w="1524" w:type="dxa"/>
            <w:tcBorders>
              <w:top w:val="single" w:color="000008" w:sz="4" w:space="0"/>
              <w:left w:val="single" w:color="000008" w:sz="4" w:space="0"/>
              <w:bottom w:val="single" w:color="000008" w:sz="4" w:space="0"/>
              <w:right w:val="single" w:color="000008" w:sz="4" w:space="0"/>
            </w:tcBorders>
          </w:tcPr>
          <w:p>
            <w:pPr>
              <w:jc w:val="center"/>
            </w:pPr>
          </w:p>
        </w:tc>
        <w:tc>
          <w:tcPr>
            <w:tcW w:w="1315" w:type="dxa"/>
            <w:tcBorders>
              <w:top w:val="single" w:color="000008" w:sz="4" w:space="0"/>
              <w:left w:val="single" w:color="000008" w:sz="4" w:space="0"/>
              <w:bottom w:val="single" w:color="000008" w:sz="4" w:space="0"/>
              <w:right w:val="single" w:color="000008" w:sz="4" w:space="0"/>
            </w:tcBorders>
          </w:tcPr>
          <w:p>
            <w:pPr>
              <w:jc w:val="center"/>
            </w:pPr>
          </w:p>
        </w:tc>
        <w:tc>
          <w:tcPr>
            <w:tcW w:w="1464" w:type="dxa"/>
            <w:tcBorders>
              <w:top w:val="single" w:color="000008" w:sz="4" w:space="0"/>
              <w:left w:val="single" w:color="000008" w:sz="4" w:space="0"/>
              <w:bottom w:val="single" w:color="000008" w:sz="4" w:space="0"/>
              <w:right w:val="single" w:color="000008" w:sz="4" w:space="0"/>
            </w:tcBorders>
          </w:tcPr>
          <w:p>
            <w:pPr>
              <w:jc w:val="center"/>
            </w:pPr>
          </w:p>
        </w:tc>
        <w:tc>
          <w:tcPr>
            <w:tcW w:w="850" w:type="dxa"/>
            <w:tcBorders>
              <w:top w:val="single" w:color="000008" w:sz="4" w:space="0"/>
              <w:left w:val="single" w:color="000008" w:sz="4" w:space="0"/>
              <w:bottom w:val="single" w:color="000008" w:sz="4" w:space="0"/>
              <w:right w:val="single" w:color="000008" w:sz="4" w:space="0"/>
            </w:tcBorders>
          </w:tcPr>
          <w:p>
            <w:pPr>
              <w:jc w:val="center"/>
            </w:pPr>
          </w:p>
        </w:tc>
      </w:tr>
      <w:tr>
        <w:tblPrEx>
          <w:tblCellMar>
            <w:top w:w="0" w:type="dxa"/>
            <w:left w:w="0" w:type="dxa"/>
            <w:bottom w:w="0" w:type="dxa"/>
            <w:right w:w="0" w:type="dxa"/>
          </w:tblCellMar>
        </w:tblPrEx>
        <w:trPr>
          <w:trHeight w:val="1134" w:hRule="exact"/>
          <w:jc w:val="center"/>
        </w:trPr>
        <w:tc>
          <w:tcPr>
            <w:tcW w:w="1056" w:type="dxa"/>
            <w:tcBorders>
              <w:top w:val="single" w:color="000008" w:sz="4" w:space="0"/>
              <w:left w:val="single" w:color="000008" w:sz="4" w:space="0"/>
              <w:bottom w:val="single" w:color="000008" w:sz="4" w:space="0"/>
              <w:right w:val="single" w:color="000008" w:sz="4" w:space="0"/>
            </w:tcBorders>
          </w:tcPr>
          <w:p>
            <w:pPr>
              <w:pStyle w:val="35"/>
              <w:spacing w:before="15" w:line="260" w:lineRule="exact"/>
              <w:ind w:left="560"/>
              <w:jc w:val="center"/>
              <w:rPr>
                <w:sz w:val="26"/>
                <w:szCs w:val="26"/>
              </w:rPr>
            </w:pPr>
          </w:p>
          <w:p>
            <w:pPr>
              <w:pStyle w:val="35"/>
              <w:ind w:left="560" w:right="443"/>
              <w:jc w:val="center"/>
              <w:rPr>
                <w:rFonts w:cs="宋体"/>
                <w:sz w:val="24"/>
                <w:szCs w:val="24"/>
              </w:rPr>
            </w:pPr>
          </w:p>
        </w:tc>
        <w:tc>
          <w:tcPr>
            <w:tcW w:w="1586" w:type="dxa"/>
            <w:tcBorders>
              <w:top w:val="single" w:color="000008" w:sz="4" w:space="0"/>
              <w:left w:val="single" w:color="000008" w:sz="4" w:space="0"/>
              <w:bottom w:val="single" w:color="000008" w:sz="4" w:space="0"/>
              <w:right w:val="single" w:color="000008" w:sz="4" w:space="0"/>
            </w:tcBorders>
          </w:tcPr>
          <w:p>
            <w:pPr>
              <w:jc w:val="center"/>
            </w:pPr>
          </w:p>
        </w:tc>
        <w:tc>
          <w:tcPr>
            <w:tcW w:w="1392" w:type="dxa"/>
            <w:tcBorders>
              <w:top w:val="single" w:color="000008" w:sz="4" w:space="0"/>
              <w:left w:val="single" w:color="000008" w:sz="4" w:space="0"/>
              <w:bottom w:val="single" w:color="000008" w:sz="4" w:space="0"/>
              <w:right w:val="single" w:color="000008" w:sz="4" w:space="0"/>
            </w:tcBorders>
          </w:tcPr>
          <w:p>
            <w:pPr>
              <w:jc w:val="center"/>
            </w:pPr>
          </w:p>
        </w:tc>
        <w:tc>
          <w:tcPr>
            <w:tcW w:w="1524" w:type="dxa"/>
            <w:tcBorders>
              <w:top w:val="single" w:color="000008" w:sz="4" w:space="0"/>
              <w:left w:val="single" w:color="000008" w:sz="4" w:space="0"/>
              <w:bottom w:val="single" w:color="000008" w:sz="4" w:space="0"/>
              <w:right w:val="single" w:color="000008" w:sz="4" w:space="0"/>
            </w:tcBorders>
          </w:tcPr>
          <w:p>
            <w:pPr>
              <w:jc w:val="center"/>
            </w:pPr>
          </w:p>
        </w:tc>
        <w:tc>
          <w:tcPr>
            <w:tcW w:w="1315" w:type="dxa"/>
            <w:tcBorders>
              <w:top w:val="single" w:color="000008" w:sz="4" w:space="0"/>
              <w:left w:val="single" w:color="000008" w:sz="4" w:space="0"/>
              <w:bottom w:val="single" w:color="000008" w:sz="4" w:space="0"/>
              <w:right w:val="single" w:color="000008" w:sz="4" w:space="0"/>
            </w:tcBorders>
          </w:tcPr>
          <w:p>
            <w:pPr>
              <w:jc w:val="center"/>
            </w:pPr>
          </w:p>
        </w:tc>
        <w:tc>
          <w:tcPr>
            <w:tcW w:w="1464" w:type="dxa"/>
            <w:tcBorders>
              <w:top w:val="single" w:color="000008" w:sz="4" w:space="0"/>
              <w:left w:val="single" w:color="000008" w:sz="4" w:space="0"/>
              <w:bottom w:val="single" w:color="000008" w:sz="4" w:space="0"/>
              <w:right w:val="single" w:color="000008" w:sz="4" w:space="0"/>
            </w:tcBorders>
          </w:tcPr>
          <w:p>
            <w:pPr>
              <w:jc w:val="center"/>
            </w:pPr>
          </w:p>
        </w:tc>
        <w:tc>
          <w:tcPr>
            <w:tcW w:w="850" w:type="dxa"/>
            <w:tcBorders>
              <w:top w:val="single" w:color="000008" w:sz="4" w:space="0"/>
              <w:left w:val="single" w:color="000008" w:sz="4" w:space="0"/>
              <w:bottom w:val="single" w:color="000008" w:sz="4" w:space="0"/>
              <w:right w:val="single" w:color="000008" w:sz="4" w:space="0"/>
            </w:tcBorders>
          </w:tcPr>
          <w:p>
            <w:pPr>
              <w:jc w:val="center"/>
            </w:pPr>
          </w:p>
        </w:tc>
      </w:tr>
      <w:tr>
        <w:tblPrEx>
          <w:tblCellMar>
            <w:top w:w="0" w:type="dxa"/>
            <w:left w:w="0" w:type="dxa"/>
            <w:bottom w:w="0" w:type="dxa"/>
            <w:right w:w="0" w:type="dxa"/>
          </w:tblCellMar>
        </w:tblPrEx>
        <w:trPr>
          <w:trHeight w:val="1134" w:hRule="exact"/>
          <w:jc w:val="center"/>
        </w:trPr>
        <w:tc>
          <w:tcPr>
            <w:tcW w:w="1056" w:type="dxa"/>
            <w:tcBorders>
              <w:top w:val="single" w:color="000008" w:sz="4" w:space="0"/>
              <w:left w:val="single" w:color="000008" w:sz="4" w:space="0"/>
              <w:bottom w:val="single" w:color="000008" w:sz="4" w:space="0"/>
              <w:right w:val="single" w:color="000008" w:sz="4" w:space="0"/>
            </w:tcBorders>
          </w:tcPr>
          <w:p>
            <w:pPr>
              <w:jc w:val="center"/>
            </w:pPr>
          </w:p>
        </w:tc>
        <w:tc>
          <w:tcPr>
            <w:tcW w:w="1586" w:type="dxa"/>
            <w:tcBorders>
              <w:top w:val="single" w:color="000008" w:sz="4" w:space="0"/>
              <w:left w:val="single" w:color="000008" w:sz="4" w:space="0"/>
              <w:bottom w:val="single" w:color="000008" w:sz="4" w:space="0"/>
              <w:right w:val="single" w:color="000008" w:sz="4" w:space="0"/>
            </w:tcBorders>
          </w:tcPr>
          <w:p>
            <w:pPr>
              <w:jc w:val="center"/>
            </w:pPr>
          </w:p>
        </w:tc>
        <w:tc>
          <w:tcPr>
            <w:tcW w:w="1392" w:type="dxa"/>
            <w:tcBorders>
              <w:top w:val="single" w:color="000008" w:sz="4" w:space="0"/>
              <w:left w:val="single" w:color="000008" w:sz="4" w:space="0"/>
              <w:bottom w:val="single" w:color="000008" w:sz="4" w:space="0"/>
              <w:right w:val="single" w:color="000008" w:sz="4" w:space="0"/>
            </w:tcBorders>
          </w:tcPr>
          <w:p>
            <w:pPr>
              <w:jc w:val="center"/>
            </w:pPr>
          </w:p>
        </w:tc>
        <w:tc>
          <w:tcPr>
            <w:tcW w:w="1524" w:type="dxa"/>
            <w:tcBorders>
              <w:top w:val="single" w:color="000008" w:sz="4" w:space="0"/>
              <w:left w:val="single" w:color="000008" w:sz="4" w:space="0"/>
              <w:bottom w:val="single" w:color="000008" w:sz="4" w:space="0"/>
              <w:right w:val="single" w:color="000008" w:sz="4" w:space="0"/>
            </w:tcBorders>
          </w:tcPr>
          <w:p>
            <w:pPr>
              <w:jc w:val="center"/>
            </w:pPr>
          </w:p>
        </w:tc>
        <w:tc>
          <w:tcPr>
            <w:tcW w:w="1315" w:type="dxa"/>
            <w:tcBorders>
              <w:top w:val="single" w:color="000008" w:sz="4" w:space="0"/>
              <w:left w:val="single" w:color="000008" w:sz="4" w:space="0"/>
              <w:bottom w:val="single" w:color="000008" w:sz="4" w:space="0"/>
              <w:right w:val="single" w:color="000008" w:sz="4" w:space="0"/>
            </w:tcBorders>
          </w:tcPr>
          <w:p>
            <w:pPr>
              <w:jc w:val="center"/>
            </w:pPr>
          </w:p>
        </w:tc>
        <w:tc>
          <w:tcPr>
            <w:tcW w:w="1464" w:type="dxa"/>
            <w:tcBorders>
              <w:top w:val="single" w:color="000008" w:sz="4" w:space="0"/>
              <w:left w:val="single" w:color="000008" w:sz="4" w:space="0"/>
              <w:bottom w:val="single" w:color="000008" w:sz="4" w:space="0"/>
              <w:right w:val="single" w:color="000008" w:sz="4" w:space="0"/>
            </w:tcBorders>
          </w:tcPr>
          <w:p>
            <w:pPr>
              <w:jc w:val="center"/>
            </w:pPr>
          </w:p>
        </w:tc>
        <w:tc>
          <w:tcPr>
            <w:tcW w:w="850" w:type="dxa"/>
            <w:tcBorders>
              <w:top w:val="single" w:color="000008" w:sz="4" w:space="0"/>
              <w:left w:val="single" w:color="000008" w:sz="4" w:space="0"/>
              <w:bottom w:val="single" w:color="000008" w:sz="4" w:space="0"/>
              <w:right w:val="single" w:color="000008" w:sz="4" w:space="0"/>
            </w:tcBorders>
          </w:tcPr>
          <w:p>
            <w:pPr>
              <w:jc w:val="center"/>
            </w:pPr>
          </w:p>
        </w:tc>
      </w:tr>
      <w:tr>
        <w:tblPrEx>
          <w:tblCellMar>
            <w:top w:w="0" w:type="dxa"/>
            <w:left w:w="0" w:type="dxa"/>
            <w:bottom w:w="0" w:type="dxa"/>
            <w:right w:w="0" w:type="dxa"/>
          </w:tblCellMar>
        </w:tblPrEx>
        <w:trPr>
          <w:trHeight w:val="1134" w:hRule="exact"/>
          <w:jc w:val="center"/>
        </w:trPr>
        <w:tc>
          <w:tcPr>
            <w:tcW w:w="1056" w:type="dxa"/>
            <w:tcBorders>
              <w:top w:val="single" w:color="000008" w:sz="4" w:space="0"/>
              <w:left w:val="single" w:color="000008" w:sz="4" w:space="0"/>
              <w:bottom w:val="single" w:color="000008" w:sz="4" w:space="0"/>
              <w:right w:val="single" w:color="000008" w:sz="4" w:space="0"/>
            </w:tcBorders>
          </w:tcPr>
          <w:p>
            <w:pPr>
              <w:jc w:val="center"/>
            </w:pPr>
          </w:p>
        </w:tc>
        <w:tc>
          <w:tcPr>
            <w:tcW w:w="1586" w:type="dxa"/>
            <w:tcBorders>
              <w:top w:val="single" w:color="000008" w:sz="4" w:space="0"/>
              <w:left w:val="single" w:color="000008" w:sz="4" w:space="0"/>
              <w:bottom w:val="single" w:color="000008" w:sz="4" w:space="0"/>
              <w:right w:val="single" w:color="000008" w:sz="4" w:space="0"/>
            </w:tcBorders>
          </w:tcPr>
          <w:p>
            <w:pPr>
              <w:jc w:val="center"/>
            </w:pPr>
          </w:p>
        </w:tc>
        <w:tc>
          <w:tcPr>
            <w:tcW w:w="1392" w:type="dxa"/>
            <w:tcBorders>
              <w:top w:val="single" w:color="000008" w:sz="4" w:space="0"/>
              <w:left w:val="single" w:color="000008" w:sz="4" w:space="0"/>
              <w:bottom w:val="single" w:color="000008" w:sz="4" w:space="0"/>
              <w:right w:val="single" w:color="000008" w:sz="4" w:space="0"/>
            </w:tcBorders>
          </w:tcPr>
          <w:p>
            <w:pPr>
              <w:jc w:val="center"/>
            </w:pPr>
          </w:p>
        </w:tc>
        <w:tc>
          <w:tcPr>
            <w:tcW w:w="1524" w:type="dxa"/>
            <w:tcBorders>
              <w:top w:val="single" w:color="000008" w:sz="4" w:space="0"/>
              <w:left w:val="single" w:color="000008" w:sz="4" w:space="0"/>
              <w:bottom w:val="single" w:color="000008" w:sz="4" w:space="0"/>
              <w:right w:val="single" w:color="000008" w:sz="4" w:space="0"/>
            </w:tcBorders>
          </w:tcPr>
          <w:p>
            <w:pPr>
              <w:jc w:val="center"/>
            </w:pPr>
          </w:p>
        </w:tc>
        <w:tc>
          <w:tcPr>
            <w:tcW w:w="1315" w:type="dxa"/>
            <w:tcBorders>
              <w:top w:val="single" w:color="000008" w:sz="4" w:space="0"/>
              <w:left w:val="single" w:color="000008" w:sz="4" w:space="0"/>
              <w:bottom w:val="single" w:color="000008" w:sz="4" w:space="0"/>
              <w:right w:val="single" w:color="000008" w:sz="4" w:space="0"/>
            </w:tcBorders>
          </w:tcPr>
          <w:p>
            <w:pPr>
              <w:jc w:val="center"/>
            </w:pPr>
          </w:p>
        </w:tc>
        <w:tc>
          <w:tcPr>
            <w:tcW w:w="1464" w:type="dxa"/>
            <w:tcBorders>
              <w:top w:val="single" w:color="000008" w:sz="4" w:space="0"/>
              <w:left w:val="single" w:color="000008" w:sz="4" w:space="0"/>
              <w:bottom w:val="single" w:color="000008" w:sz="4" w:space="0"/>
              <w:right w:val="single" w:color="000008" w:sz="4" w:space="0"/>
            </w:tcBorders>
          </w:tcPr>
          <w:p>
            <w:pPr>
              <w:jc w:val="center"/>
            </w:pPr>
          </w:p>
        </w:tc>
        <w:tc>
          <w:tcPr>
            <w:tcW w:w="850" w:type="dxa"/>
            <w:tcBorders>
              <w:top w:val="single" w:color="000008" w:sz="4" w:space="0"/>
              <w:left w:val="single" w:color="000008" w:sz="4" w:space="0"/>
              <w:bottom w:val="single" w:color="000008" w:sz="4" w:space="0"/>
              <w:right w:val="single" w:color="000008" w:sz="4" w:space="0"/>
            </w:tcBorders>
          </w:tcPr>
          <w:p>
            <w:pPr>
              <w:jc w:val="center"/>
            </w:pPr>
          </w:p>
        </w:tc>
      </w:tr>
    </w:tbl>
    <w:p>
      <w:pPr>
        <w:pStyle w:val="9"/>
        <w:tabs>
          <w:tab w:val="left" w:pos="5037"/>
          <w:tab w:val="left" w:pos="5877"/>
          <w:tab w:val="left" w:pos="8222"/>
        </w:tabs>
        <w:adjustRightInd w:val="0"/>
        <w:snapToGrid w:val="0"/>
        <w:spacing w:after="0"/>
        <w:ind w:firstLine="944" w:firstLineChars="400"/>
        <w:rPr>
          <w:spacing w:val="-2"/>
          <w:sz w:val="24"/>
          <w:szCs w:val="24"/>
        </w:rPr>
      </w:pPr>
    </w:p>
    <w:p>
      <w:pPr>
        <w:pStyle w:val="9"/>
        <w:tabs>
          <w:tab w:val="left" w:pos="5037"/>
          <w:tab w:val="left" w:pos="5877"/>
          <w:tab w:val="left" w:pos="8222"/>
        </w:tabs>
        <w:adjustRightInd w:val="0"/>
        <w:snapToGrid w:val="0"/>
        <w:spacing w:after="0"/>
        <w:ind w:firstLine="944" w:firstLineChars="400"/>
        <w:rPr>
          <w:rFonts w:ascii="Times New Roman"/>
          <w:sz w:val="24"/>
          <w:szCs w:val="24"/>
        </w:rPr>
      </w:pPr>
      <w:r>
        <w:rPr>
          <w:rFonts w:hint="eastAsia"/>
          <w:spacing w:val="-2"/>
          <w:sz w:val="24"/>
          <w:szCs w:val="24"/>
        </w:rPr>
        <w:t>法定代表人</w:t>
      </w:r>
      <w:r>
        <w:rPr>
          <w:rFonts w:hint="eastAsia"/>
          <w:bCs/>
          <w:sz w:val="24"/>
          <w:szCs w:val="24"/>
        </w:rPr>
        <w:t>（负责人）</w:t>
      </w:r>
      <w:r>
        <w:rPr>
          <w:rFonts w:hint="eastAsia"/>
          <w:sz w:val="24"/>
        </w:rPr>
        <w:t>（或授权委托人）</w:t>
      </w:r>
      <w:r>
        <w:rPr>
          <w:sz w:val="24"/>
          <w:szCs w:val="24"/>
        </w:rPr>
        <w:t>：</w:t>
      </w:r>
      <w:r>
        <w:rPr>
          <w:rFonts w:hint="eastAsia"/>
          <w:spacing w:val="-2"/>
          <w:sz w:val="24"/>
          <w:szCs w:val="24"/>
          <w:u w:val="single"/>
        </w:rPr>
        <w:t>签名或签章</w:t>
      </w:r>
      <w:r>
        <w:rPr>
          <w:rFonts w:ascii="Times New Roman" w:eastAsia="Times New Roman"/>
          <w:sz w:val="24"/>
          <w:szCs w:val="24"/>
        </w:rPr>
        <w:t xml:space="preserve"> </w:t>
      </w:r>
    </w:p>
    <w:p>
      <w:pPr>
        <w:pStyle w:val="9"/>
        <w:tabs>
          <w:tab w:val="left" w:pos="5037"/>
          <w:tab w:val="left" w:pos="5877"/>
          <w:tab w:val="left" w:pos="8222"/>
        </w:tabs>
        <w:adjustRightInd w:val="0"/>
        <w:snapToGrid w:val="0"/>
        <w:spacing w:after="0"/>
        <w:ind w:firstLine="480"/>
        <w:rPr>
          <w:sz w:val="24"/>
          <w:szCs w:val="24"/>
        </w:rPr>
      </w:pPr>
    </w:p>
    <w:p>
      <w:pPr>
        <w:pStyle w:val="9"/>
        <w:tabs>
          <w:tab w:val="left" w:pos="5037"/>
          <w:tab w:val="left" w:pos="5877"/>
          <w:tab w:val="left" w:pos="8222"/>
        </w:tabs>
        <w:snapToGrid w:val="0"/>
        <w:spacing w:after="0" w:line="360" w:lineRule="auto"/>
        <w:ind w:left="178" w:right="4" w:firstLine="480"/>
        <w:rPr>
          <w:sz w:val="24"/>
          <w:szCs w:val="24"/>
        </w:rPr>
      </w:pPr>
      <w:r>
        <w:rPr>
          <w:rFonts w:hint="eastAsia"/>
          <w:sz w:val="24"/>
          <w:szCs w:val="24"/>
        </w:rPr>
        <w:t>注：1.以合同签订时间为准，附有完整合同复印件（或扫描件）。</w:t>
      </w:r>
    </w:p>
    <w:p>
      <w:pPr>
        <w:pStyle w:val="9"/>
        <w:tabs>
          <w:tab w:val="left" w:pos="5037"/>
          <w:tab w:val="left" w:pos="5877"/>
          <w:tab w:val="left" w:pos="8222"/>
        </w:tabs>
        <w:adjustRightInd w:val="0"/>
        <w:snapToGrid w:val="0"/>
        <w:spacing w:after="0" w:line="360" w:lineRule="auto"/>
        <w:ind w:firstLine="1200" w:firstLineChars="500"/>
        <w:rPr>
          <w:sz w:val="24"/>
          <w:szCs w:val="24"/>
        </w:rPr>
      </w:pPr>
      <w:r>
        <w:rPr>
          <w:rFonts w:hint="eastAsia"/>
          <w:sz w:val="24"/>
          <w:szCs w:val="24"/>
        </w:rPr>
        <w:t>2.未提供不作无效投标文件处理。</w:t>
      </w:r>
    </w:p>
    <w:p>
      <w:pPr>
        <w:adjustRightInd w:val="0"/>
        <w:snapToGrid w:val="0"/>
        <w:spacing w:line="360" w:lineRule="auto"/>
        <w:ind w:firstLine="480"/>
        <w:rPr>
          <w:sz w:val="24"/>
        </w:rPr>
      </w:pPr>
      <w:r>
        <w:rPr>
          <w:rFonts w:hint="eastAsia"/>
          <w:b/>
        </w:rPr>
        <w:br w:type="page"/>
      </w:r>
    </w:p>
    <w:p>
      <w:pPr>
        <w:adjustRightInd w:val="0"/>
        <w:snapToGrid w:val="0"/>
        <w:spacing w:line="360" w:lineRule="auto"/>
        <w:jc w:val="center"/>
        <w:rPr>
          <w:rFonts w:cs="宋体"/>
          <w:b/>
          <w:bCs/>
          <w:sz w:val="32"/>
          <w:szCs w:val="32"/>
        </w:rPr>
      </w:pPr>
      <w:r>
        <w:rPr>
          <w:rFonts w:hint="eastAsia" w:cs="宋体"/>
          <w:b/>
          <w:bCs/>
          <w:sz w:val="32"/>
          <w:szCs w:val="32"/>
        </w:rPr>
        <w:t>九、主要人员情况汇总表</w:t>
      </w:r>
    </w:p>
    <w:p>
      <w:r>
        <w:rPr>
          <w:rFonts w:hint="eastAsia"/>
        </w:rPr>
        <w:t>投标人名称：</w:t>
      </w:r>
      <w:r>
        <w:rPr>
          <w:rFonts w:hint="eastAsia"/>
          <w:u w:val="single"/>
        </w:rPr>
        <w:t>（签章）</w:t>
      </w:r>
      <w:r>
        <w:rPr>
          <w:rFonts w:hint="eastAsia"/>
        </w:rPr>
        <w:t xml:space="preserve">                  采购项目名称：</w:t>
      </w:r>
      <w:r>
        <w:rPr>
          <w:rFonts w:hint="eastAsia"/>
          <w:u w:val="single"/>
        </w:rPr>
        <w:t xml:space="preserve">           </w:t>
      </w:r>
    </w:p>
    <w:tbl>
      <w:tblPr>
        <w:tblStyle w:val="21"/>
        <w:tblW w:w="95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2"/>
        <w:gridCol w:w="1777"/>
        <w:gridCol w:w="914"/>
        <w:gridCol w:w="850"/>
        <w:gridCol w:w="992"/>
        <w:gridCol w:w="2978"/>
        <w:gridCol w:w="11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exact"/>
        </w:trPr>
        <w:tc>
          <w:tcPr>
            <w:tcW w:w="962" w:type="dxa"/>
          </w:tcPr>
          <w:p>
            <w:pPr>
              <w:spacing w:line="360" w:lineRule="auto"/>
              <w:ind w:right="-57"/>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序号</w:t>
            </w:r>
          </w:p>
        </w:tc>
        <w:tc>
          <w:tcPr>
            <w:tcW w:w="1777" w:type="dxa"/>
          </w:tcPr>
          <w:p>
            <w:pPr>
              <w:spacing w:line="360" w:lineRule="auto"/>
              <w:ind w:right="-57"/>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姓名</w:t>
            </w:r>
          </w:p>
        </w:tc>
        <w:tc>
          <w:tcPr>
            <w:tcW w:w="914" w:type="dxa"/>
          </w:tcPr>
          <w:p>
            <w:pPr>
              <w:spacing w:line="360" w:lineRule="auto"/>
              <w:ind w:right="-57"/>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学历</w:t>
            </w:r>
          </w:p>
        </w:tc>
        <w:tc>
          <w:tcPr>
            <w:tcW w:w="850" w:type="dxa"/>
          </w:tcPr>
          <w:p>
            <w:pPr>
              <w:spacing w:line="360" w:lineRule="auto"/>
              <w:ind w:right="-57"/>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专业</w:t>
            </w:r>
          </w:p>
        </w:tc>
        <w:tc>
          <w:tcPr>
            <w:tcW w:w="992" w:type="dxa"/>
          </w:tcPr>
          <w:p>
            <w:pPr>
              <w:spacing w:line="360" w:lineRule="auto"/>
              <w:ind w:right="-57"/>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职称</w:t>
            </w:r>
          </w:p>
        </w:tc>
        <w:tc>
          <w:tcPr>
            <w:tcW w:w="2978" w:type="dxa"/>
          </w:tcPr>
          <w:p>
            <w:pPr>
              <w:spacing w:line="360" w:lineRule="auto"/>
              <w:ind w:right="-57"/>
              <w:jc w:val="center"/>
              <w:rPr>
                <w:rFonts w:asciiTheme="minorEastAsia" w:hAnsiTheme="minorEastAsia" w:eastAsiaTheme="minorEastAsia"/>
                <w:b/>
                <w:bCs/>
                <w:sz w:val="24"/>
                <w:szCs w:val="24"/>
              </w:rPr>
            </w:pPr>
            <w:r>
              <w:rPr>
                <w:rFonts w:hint="eastAsia"/>
                <w:b/>
                <w:sz w:val="24"/>
              </w:rPr>
              <w:t>拟在本项目中担任职务</w:t>
            </w:r>
          </w:p>
        </w:tc>
        <w:tc>
          <w:tcPr>
            <w:tcW w:w="1103" w:type="dxa"/>
          </w:tcPr>
          <w:p>
            <w:pPr>
              <w:spacing w:line="360" w:lineRule="auto"/>
              <w:ind w:right="-57"/>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exact"/>
        </w:trPr>
        <w:tc>
          <w:tcPr>
            <w:tcW w:w="962" w:type="dxa"/>
          </w:tcPr>
          <w:p>
            <w:pPr>
              <w:spacing w:line="360" w:lineRule="auto"/>
              <w:ind w:right="-55"/>
              <w:jc w:val="center"/>
              <w:outlineLvl w:val="0"/>
              <w:rPr>
                <w:rFonts w:asciiTheme="minorEastAsia" w:hAnsiTheme="minorEastAsia" w:eastAsiaTheme="minorEastAsia"/>
                <w:b/>
                <w:bCs/>
                <w:sz w:val="24"/>
                <w:szCs w:val="24"/>
              </w:rPr>
            </w:pPr>
          </w:p>
        </w:tc>
        <w:tc>
          <w:tcPr>
            <w:tcW w:w="1777" w:type="dxa"/>
          </w:tcPr>
          <w:p>
            <w:pPr>
              <w:spacing w:line="360" w:lineRule="auto"/>
              <w:ind w:right="-55"/>
              <w:jc w:val="center"/>
              <w:outlineLvl w:val="0"/>
              <w:rPr>
                <w:rFonts w:asciiTheme="minorEastAsia" w:hAnsiTheme="minorEastAsia" w:eastAsiaTheme="minorEastAsia"/>
                <w:b/>
                <w:bCs/>
                <w:sz w:val="24"/>
                <w:szCs w:val="24"/>
              </w:rPr>
            </w:pPr>
          </w:p>
        </w:tc>
        <w:tc>
          <w:tcPr>
            <w:tcW w:w="914" w:type="dxa"/>
          </w:tcPr>
          <w:p>
            <w:pPr>
              <w:spacing w:line="360" w:lineRule="auto"/>
              <w:ind w:right="-55"/>
              <w:jc w:val="center"/>
              <w:outlineLvl w:val="0"/>
              <w:rPr>
                <w:rFonts w:asciiTheme="minorEastAsia" w:hAnsiTheme="minorEastAsia" w:eastAsiaTheme="minorEastAsia"/>
                <w:b/>
                <w:bCs/>
                <w:sz w:val="24"/>
                <w:szCs w:val="24"/>
              </w:rPr>
            </w:pPr>
          </w:p>
        </w:tc>
        <w:tc>
          <w:tcPr>
            <w:tcW w:w="850" w:type="dxa"/>
          </w:tcPr>
          <w:p>
            <w:pPr>
              <w:spacing w:line="360" w:lineRule="auto"/>
              <w:ind w:right="-55"/>
              <w:jc w:val="center"/>
              <w:outlineLvl w:val="0"/>
              <w:rPr>
                <w:rFonts w:asciiTheme="minorEastAsia" w:hAnsiTheme="minorEastAsia" w:eastAsiaTheme="minorEastAsia"/>
                <w:b/>
                <w:bCs/>
                <w:sz w:val="24"/>
                <w:szCs w:val="24"/>
              </w:rPr>
            </w:pPr>
          </w:p>
        </w:tc>
        <w:tc>
          <w:tcPr>
            <w:tcW w:w="992" w:type="dxa"/>
          </w:tcPr>
          <w:p>
            <w:pPr>
              <w:spacing w:line="360" w:lineRule="auto"/>
              <w:ind w:right="-55"/>
              <w:jc w:val="center"/>
              <w:outlineLvl w:val="0"/>
              <w:rPr>
                <w:rFonts w:asciiTheme="minorEastAsia" w:hAnsiTheme="minorEastAsia" w:eastAsiaTheme="minorEastAsia"/>
                <w:b/>
                <w:bCs/>
                <w:sz w:val="24"/>
                <w:szCs w:val="24"/>
              </w:rPr>
            </w:pPr>
          </w:p>
        </w:tc>
        <w:tc>
          <w:tcPr>
            <w:tcW w:w="2978" w:type="dxa"/>
          </w:tcPr>
          <w:p>
            <w:pPr>
              <w:spacing w:line="360" w:lineRule="auto"/>
              <w:ind w:right="-55"/>
              <w:jc w:val="center"/>
              <w:outlineLvl w:val="0"/>
              <w:rPr>
                <w:rFonts w:asciiTheme="minorEastAsia" w:hAnsiTheme="minorEastAsia" w:eastAsiaTheme="minorEastAsia"/>
                <w:b/>
                <w:bCs/>
                <w:sz w:val="24"/>
                <w:szCs w:val="24"/>
              </w:rPr>
            </w:pPr>
          </w:p>
        </w:tc>
        <w:tc>
          <w:tcPr>
            <w:tcW w:w="1103" w:type="dxa"/>
          </w:tcPr>
          <w:p>
            <w:pPr>
              <w:spacing w:line="360" w:lineRule="auto"/>
              <w:ind w:right="-55"/>
              <w:jc w:val="center"/>
              <w:outlineLvl w:val="0"/>
              <w:rPr>
                <w:rFonts w:asciiTheme="minorEastAsia" w:hAnsiTheme="minorEastAsia" w:eastAsiaTheme="minorEastAsia"/>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exact"/>
        </w:trPr>
        <w:tc>
          <w:tcPr>
            <w:tcW w:w="962" w:type="dxa"/>
          </w:tcPr>
          <w:p>
            <w:pPr>
              <w:spacing w:line="360" w:lineRule="auto"/>
              <w:ind w:right="-55"/>
              <w:jc w:val="center"/>
              <w:outlineLvl w:val="0"/>
              <w:rPr>
                <w:rFonts w:asciiTheme="minorEastAsia" w:hAnsiTheme="minorEastAsia" w:eastAsiaTheme="minorEastAsia"/>
                <w:b/>
                <w:bCs/>
                <w:sz w:val="24"/>
                <w:szCs w:val="24"/>
              </w:rPr>
            </w:pPr>
          </w:p>
        </w:tc>
        <w:tc>
          <w:tcPr>
            <w:tcW w:w="1777" w:type="dxa"/>
          </w:tcPr>
          <w:p>
            <w:pPr>
              <w:spacing w:line="360" w:lineRule="auto"/>
              <w:ind w:right="-55"/>
              <w:jc w:val="center"/>
              <w:outlineLvl w:val="0"/>
              <w:rPr>
                <w:rFonts w:asciiTheme="minorEastAsia" w:hAnsiTheme="minorEastAsia" w:eastAsiaTheme="minorEastAsia"/>
                <w:b/>
                <w:bCs/>
                <w:sz w:val="24"/>
                <w:szCs w:val="24"/>
              </w:rPr>
            </w:pPr>
          </w:p>
        </w:tc>
        <w:tc>
          <w:tcPr>
            <w:tcW w:w="914" w:type="dxa"/>
          </w:tcPr>
          <w:p>
            <w:pPr>
              <w:spacing w:line="360" w:lineRule="auto"/>
              <w:ind w:right="-55"/>
              <w:jc w:val="center"/>
              <w:outlineLvl w:val="0"/>
              <w:rPr>
                <w:rFonts w:asciiTheme="minorEastAsia" w:hAnsiTheme="minorEastAsia" w:eastAsiaTheme="minorEastAsia"/>
                <w:b/>
                <w:bCs/>
                <w:sz w:val="24"/>
                <w:szCs w:val="24"/>
              </w:rPr>
            </w:pPr>
          </w:p>
        </w:tc>
        <w:tc>
          <w:tcPr>
            <w:tcW w:w="850" w:type="dxa"/>
          </w:tcPr>
          <w:p>
            <w:pPr>
              <w:spacing w:line="360" w:lineRule="auto"/>
              <w:ind w:right="-55"/>
              <w:jc w:val="center"/>
              <w:outlineLvl w:val="0"/>
              <w:rPr>
                <w:rFonts w:asciiTheme="minorEastAsia" w:hAnsiTheme="minorEastAsia" w:eastAsiaTheme="minorEastAsia"/>
                <w:b/>
                <w:bCs/>
                <w:sz w:val="24"/>
                <w:szCs w:val="24"/>
              </w:rPr>
            </w:pPr>
          </w:p>
        </w:tc>
        <w:tc>
          <w:tcPr>
            <w:tcW w:w="992" w:type="dxa"/>
          </w:tcPr>
          <w:p>
            <w:pPr>
              <w:spacing w:line="360" w:lineRule="auto"/>
              <w:ind w:right="-55"/>
              <w:jc w:val="center"/>
              <w:outlineLvl w:val="0"/>
              <w:rPr>
                <w:rFonts w:asciiTheme="minorEastAsia" w:hAnsiTheme="minorEastAsia" w:eastAsiaTheme="minorEastAsia"/>
                <w:b/>
                <w:bCs/>
                <w:sz w:val="24"/>
                <w:szCs w:val="24"/>
              </w:rPr>
            </w:pPr>
          </w:p>
        </w:tc>
        <w:tc>
          <w:tcPr>
            <w:tcW w:w="2978" w:type="dxa"/>
          </w:tcPr>
          <w:p>
            <w:pPr>
              <w:spacing w:line="360" w:lineRule="auto"/>
              <w:ind w:right="-55"/>
              <w:jc w:val="center"/>
              <w:outlineLvl w:val="0"/>
              <w:rPr>
                <w:rFonts w:asciiTheme="minorEastAsia" w:hAnsiTheme="minorEastAsia" w:eastAsiaTheme="minorEastAsia"/>
                <w:b/>
                <w:bCs/>
                <w:sz w:val="24"/>
                <w:szCs w:val="24"/>
              </w:rPr>
            </w:pPr>
          </w:p>
        </w:tc>
        <w:tc>
          <w:tcPr>
            <w:tcW w:w="1103" w:type="dxa"/>
          </w:tcPr>
          <w:p>
            <w:pPr>
              <w:spacing w:line="360" w:lineRule="auto"/>
              <w:ind w:right="-55"/>
              <w:jc w:val="center"/>
              <w:outlineLvl w:val="0"/>
              <w:rPr>
                <w:rFonts w:asciiTheme="minorEastAsia" w:hAnsiTheme="minorEastAsia" w:eastAsiaTheme="minorEastAsia"/>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exact"/>
        </w:trPr>
        <w:tc>
          <w:tcPr>
            <w:tcW w:w="962" w:type="dxa"/>
          </w:tcPr>
          <w:p>
            <w:pPr>
              <w:spacing w:line="360" w:lineRule="auto"/>
              <w:ind w:right="-55"/>
              <w:jc w:val="center"/>
              <w:outlineLvl w:val="0"/>
              <w:rPr>
                <w:rFonts w:asciiTheme="minorEastAsia" w:hAnsiTheme="minorEastAsia" w:eastAsiaTheme="minorEastAsia"/>
                <w:b/>
                <w:bCs/>
                <w:sz w:val="24"/>
                <w:szCs w:val="24"/>
              </w:rPr>
            </w:pPr>
          </w:p>
        </w:tc>
        <w:tc>
          <w:tcPr>
            <w:tcW w:w="1777" w:type="dxa"/>
          </w:tcPr>
          <w:p>
            <w:pPr>
              <w:spacing w:line="360" w:lineRule="auto"/>
              <w:ind w:right="-55"/>
              <w:jc w:val="center"/>
              <w:outlineLvl w:val="0"/>
              <w:rPr>
                <w:rFonts w:asciiTheme="minorEastAsia" w:hAnsiTheme="minorEastAsia" w:eastAsiaTheme="minorEastAsia"/>
                <w:b/>
                <w:bCs/>
                <w:sz w:val="24"/>
                <w:szCs w:val="24"/>
              </w:rPr>
            </w:pPr>
          </w:p>
        </w:tc>
        <w:tc>
          <w:tcPr>
            <w:tcW w:w="914" w:type="dxa"/>
          </w:tcPr>
          <w:p>
            <w:pPr>
              <w:spacing w:line="360" w:lineRule="auto"/>
              <w:ind w:right="-55"/>
              <w:jc w:val="center"/>
              <w:outlineLvl w:val="0"/>
              <w:rPr>
                <w:rFonts w:asciiTheme="minorEastAsia" w:hAnsiTheme="minorEastAsia" w:eastAsiaTheme="minorEastAsia"/>
                <w:b/>
                <w:bCs/>
                <w:sz w:val="24"/>
                <w:szCs w:val="24"/>
              </w:rPr>
            </w:pPr>
          </w:p>
        </w:tc>
        <w:tc>
          <w:tcPr>
            <w:tcW w:w="850" w:type="dxa"/>
          </w:tcPr>
          <w:p>
            <w:pPr>
              <w:spacing w:line="360" w:lineRule="auto"/>
              <w:ind w:right="-55"/>
              <w:jc w:val="center"/>
              <w:outlineLvl w:val="0"/>
              <w:rPr>
                <w:rFonts w:asciiTheme="minorEastAsia" w:hAnsiTheme="minorEastAsia" w:eastAsiaTheme="minorEastAsia"/>
                <w:b/>
                <w:bCs/>
                <w:sz w:val="24"/>
                <w:szCs w:val="24"/>
              </w:rPr>
            </w:pPr>
          </w:p>
        </w:tc>
        <w:tc>
          <w:tcPr>
            <w:tcW w:w="992" w:type="dxa"/>
          </w:tcPr>
          <w:p>
            <w:pPr>
              <w:spacing w:line="360" w:lineRule="auto"/>
              <w:ind w:right="-55"/>
              <w:jc w:val="center"/>
              <w:outlineLvl w:val="0"/>
              <w:rPr>
                <w:rFonts w:asciiTheme="minorEastAsia" w:hAnsiTheme="minorEastAsia" w:eastAsiaTheme="minorEastAsia"/>
                <w:b/>
                <w:bCs/>
                <w:sz w:val="24"/>
                <w:szCs w:val="24"/>
              </w:rPr>
            </w:pPr>
          </w:p>
        </w:tc>
        <w:tc>
          <w:tcPr>
            <w:tcW w:w="2978" w:type="dxa"/>
          </w:tcPr>
          <w:p>
            <w:pPr>
              <w:spacing w:line="360" w:lineRule="auto"/>
              <w:ind w:right="-55"/>
              <w:jc w:val="center"/>
              <w:outlineLvl w:val="0"/>
              <w:rPr>
                <w:rFonts w:asciiTheme="minorEastAsia" w:hAnsiTheme="minorEastAsia" w:eastAsiaTheme="minorEastAsia"/>
                <w:b/>
                <w:bCs/>
                <w:sz w:val="24"/>
                <w:szCs w:val="24"/>
              </w:rPr>
            </w:pPr>
          </w:p>
        </w:tc>
        <w:tc>
          <w:tcPr>
            <w:tcW w:w="1103" w:type="dxa"/>
          </w:tcPr>
          <w:p>
            <w:pPr>
              <w:spacing w:line="360" w:lineRule="auto"/>
              <w:ind w:right="-55"/>
              <w:jc w:val="center"/>
              <w:outlineLvl w:val="0"/>
              <w:rPr>
                <w:rFonts w:asciiTheme="minorEastAsia" w:hAnsiTheme="minorEastAsia" w:eastAsiaTheme="minorEastAsia"/>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exact"/>
        </w:trPr>
        <w:tc>
          <w:tcPr>
            <w:tcW w:w="962" w:type="dxa"/>
          </w:tcPr>
          <w:p>
            <w:pPr>
              <w:spacing w:line="360" w:lineRule="auto"/>
              <w:ind w:right="-55"/>
              <w:jc w:val="center"/>
              <w:outlineLvl w:val="0"/>
              <w:rPr>
                <w:rFonts w:asciiTheme="minorEastAsia" w:hAnsiTheme="minorEastAsia" w:eastAsiaTheme="minorEastAsia"/>
                <w:b/>
                <w:bCs/>
                <w:sz w:val="24"/>
                <w:szCs w:val="24"/>
              </w:rPr>
            </w:pPr>
          </w:p>
        </w:tc>
        <w:tc>
          <w:tcPr>
            <w:tcW w:w="1777" w:type="dxa"/>
          </w:tcPr>
          <w:p>
            <w:pPr>
              <w:spacing w:line="360" w:lineRule="auto"/>
              <w:ind w:right="-55"/>
              <w:jc w:val="center"/>
              <w:outlineLvl w:val="0"/>
              <w:rPr>
                <w:rFonts w:asciiTheme="minorEastAsia" w:hAnsiTheme="minorEastAsia" w:eastAsiaTheme="minorEastAsia"/>
                <w:b/>
                <w:bCs/>
                <w:sz w:val="24"/>
                <w:szCs w:val="24"/>
              </w:rPr>
            </w:pPr>
          </w:p>
        </w:tc>
        <w:tc>
          <w:tcPr>
            <w:tcW w:w="914" w:type="dxa"/>
          </w:tcPr>
          <w:p>
            <w:pPr>
              <w:spacing w:line="360" w:lineRule="auto"/>
              <w:ind w:right="-55"/>
              <w:jc w:val="center"/>
              <w:outlineLvl w:val="0"/>
              <w:rPr>
                <w:rFonts w:asciiTheme="minorEastAsia" w:hAnsiTheme="minorEastAsia" w:eastAsiaTheme="minorEastAsia"/>
                <w:b/>
                <w:bCs/>
                <w:sz w:val="24"/>
                <w:szCs w:val="24"/>
              </w:rPr>
            </w:pPr>
          </w:p>
        </w:tc>
        <w:tc>
          <w:tcPr>
            <w:tcW w:w="850" w:type="dxa"/>
          </w:tcPr>
          <w:p>
            <w:pPr>
              <w:spacing w:line="360" w:lineRule="auto"/>
              <w:ind w:right="-55"/>
              <w:jc w:val="center"/>
              <w:outlineLvl w:val="0"/>
              <w:rPr>
                <w:rFonts w:asciiTheme="minorEastAsia" w:hAnsiTheme="minorEastAsia" w:eastAsiaTheme="minorEastAsia"/>
                <w:b/>
                <w:bCs/>
                <w:sz w:val="24"/>
                <w:szCs w:val="24"/>
              </w:rPr>
            </w:pPr>
          </w:p>
        </w:tc>
        <w:tc>
          <w:tcPr>
            <w:tcW w:w="992" w:type="dxa"/>
          </w:tcPr>
          <w:p>
            <w:pPr>
              <w:spacing w:line="360" w:lineRule="auto"/>
              <w:ind w:right="-55"/>
              <w:jc w:val="center"/>
              <w:outlineLvl w:val="0"/>
              <w:rPr>
                <w:rFonts w:asciiTheme="minorEastAsia" w:hAnsiTheme="minorEastAsia" w:eastAsiaTheme="minorEastAsia"/>
                <w:b/>
                <w:bCs/>
                <w:sz w:val="24"/>
                <w:szCs w:val="24"/>
              </w:rPr>
            </w:pPr>
          </w:p>
        </w:tc>
        <w:tc>
          <w:tcPr>
            <w:tcW w:w="2978" w:type="dxa"/>
          </w:tcPr>
          <w:p>
            <w:pPr>
              <w:spacing w:line="360" w:lineRule="auto"/>
              <w:ind w:right="-55"/>
              <w:jc w:val="center"/>
              <w:outlineLvl w:val="0"/>
              <w:rPr>
                <w:rFonts w:asciiTheme="minorEastAsia" w:hAnsiTheme="minorEastAsia" w:eastAsiaTheme="minorEastAsia"/>
                <w:b/>
                <w:bCs/>
                <w:sz w:val="24"/>
                <w:szCs w:val="24"/>
              </w:rPr>
            </w:pPr>
          </w:p>
        </w:tc>
        <w:tc>
          <w:tcPr>
            <w:tcW w:w="1103" w:type="dxa"/>
          </w:tcPr>
          <w:p>
            <w:pPr>
              <w:spacing w:line="360" w:lineRule="auto"/>
              <w:ind w:right="-55"/>
              <w:jc w:val="center"/>
              <w:outlineLvl w:val="0"/>
              <w:rPr>
                <w:rFonts w:asciiTheme="minorEastAsia" w:hAnsiTheme="minorEastAsia" w:eastAsiaTheme="minorEastAsia"/>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exact"/>
        </w:trPr>
        <w:tc>
          <w:tcPr>
            <w:tcW w:w="962" w:type="dxa"/>
          </w:tcPr>
          <w:p>
            <w:pPr>
              <w:spacing w:line="360" w:lineRule="auto"/>
              <w:ind w:right="-55"/>
              <w:jc w:val="center"/>
              <w:outlineLvl w:val="0"/>
              <w:rPr>
                <w:rFonts w:asciiTheme="minorEastAsia" w:hAnsiTheme="minorEastAsia" w:eastAsiaTheme="minorEastAsia"/>
                <w:b/>
                <w:bCs/>
                <w:sz w:val="24"/>
                <w:szCs w:val="24"/>
              </w:rPr>
            </w:pPr>
          </w:p>
        </w:tc>
        <w:tc>
          <w:tcPr>
            <w:tcW w:w="1777" w:type="dxa"/>
          </w:tcPr>
          <w:p>
            <w:pPr>
              <w:spacing w:line="360" w:lineRule="auto"/>
              <w:ind w:right="-55"/>
              <w:jc w:val="center"/>
              <w:outlineLvl w:val="0"/>
              <w:rPr>
                <w:rFonts w:asciiTheme="minorEastAsia" w:hAnsiTheme="minorEastAsia" w:eastAsiaTheme="minorEastAsia"/>
                <w:b/>
                <w:bCs/>
                <w:sz w:val="24"/>
                <w:szCs w:val="24"/>
              </w:rPr>
            </w:pPr>
          </w:p>
        </w:tc>
        <w:tc>
          <w:tcPr>
            <w:tcW w:w="914" w:type="dxa"/>
          </w:tcPr>
          <w:p>
            <w:pPr>
              <w:spacing w:line="360" w:lineRule="auto"/>
              <w:ind w:right="-55"/>
              <w:jc w:val="center"/>
              <w:outlineLvl w:val="0"/>
              <w:rPr>
                <w:rFonts w:asciiTheme="minorEastAsia" w:hAnsiTheme="minorEastAsia" w:eastAsiaTheme="minorEastAsia"/>
                <w:b/>
                <w:bCs/>
                <w:sz w:val="24"/>
                <w:szCs w:val="24"/>
              </w:rPr>
            </w:pPr>
          </w:p>
        </w:tc>
        <w:tc>
          <w:tcPr>
            <w:tcW w:w="850" w:type="dxa"/>
          </w:tcPr>
          <w:p>
            <w:pPr>
              <w:spacing w:line="360" w:lineRule="auto"/>
              <w:ind w:right="-55"/>
              <w:jc w:val="center"/>
              <w:outlineLvl w:val="0"/>
              <w:rPr>
                <w:rFonts w:asciiTheme="minorEastAsia" w:hAnsiTheme="minorEastAsia" w:eastAsiaTheme="minorEastAsia"/>
                <w:b/>
                <w:bCs/>
                <w:sz w:val="24"/>
                <w:szCs w:val="24"/>
              </w:rPr>
            </w:pPr>
          </w:p>
        </w:tc>
        <w:tc>
          <w:tcPr>
            <w:tcW w:w="992" w:type="dxa"/>
          </w:tcPr>
          <w:p>
            <w:pPr>
              <w:spacing w:line="360" w:lineRule="auto"/>
              <w:ind w:right="-55"/>
              <w:jc w:val="center"/>
              <w:outlineLvl w:val="0"/>
              <w:rPr>
                <w:rFonts w:asciiTheme="minorEastAsia" w:hAnsiTheme="minorEastAsia" w:eastAsiaTheme="minorEastAsia"/>
                <w:b/>
                <w:bCs/>
                <w:sz w:val="24"/>
                <w:szCs w:val="24"/>
              </w:rPr>
            </w:pPr>
          </w:p>
        </w:tc>
        <w:tc>
          <w:tcPr>
            <w:tcW w:w="2978" w:type="dxa"/>
          </w:tcPr>
          <w:p>
            <w:pPr>
              <w:spacing w:line="360" w:lineRule="auto"/>
              <w:ind w:right="-55"/>
              <w:jc w:val="center"/>
              <w:outlineLvl w:val="0"/>
              <w:rPr>
                <w:rFonts w:asciiTheme="minorEastAsia" w:hAnsiTheme="minorEastAsia" w:eastAsiaTheme="minorEastAsia"/>
                <w:b/>
                <w:bCs/>
                <w:sz w:val="24"/>
                <w:szCs w:val="24"/>
              </w:rPr>
            </w:pPr>
          </w:p>
        </w:tc>
        <w:tc>
          <w:tcPr>
            <w:tcW w:w="1103" w:type="dxa"/>
          </w:tcPr>
          <w:p>
            <w:pPr>
              <w:spacing w:line="360" w:lineRule="auto"/>
              <w:ind w:right="-55"/>
              <w:jc w:val="center"/>
              <w:outlineLvl w:val="0"/>
              <w:rPr>
                <w:rFonts w:asciiTheme="minorEastAsia" w:hAnsiTheme="minorEastAsia" w:eastAsiaTheme="minorEastAsia"/>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exact"/>
        </w:trPr>
        <w:tc>
          <w:tcPr>
            <w:tcW w:w="962" w:type="dxa"/>
          </w:tcPr>
          <w:p>
            <w:pPr>
              <w:spacing w:line="360" w:lineRule="auto"/>
              <w:ind w:right="-55"/>
              <w:jc w:val="center"/>
              <w:outlineLvl w:val="0"/>
              <w:rPr>
                <w:rFonts w:asciiTheme="minorEastAsia" w:hAnsiTheme="minorEastAsia" w:eastAsiaTheme="minorEastAsia"/>
                <w:b/>
                <w:bCs/>
                <w:sz w:val="24"/>
                <w:szCs w:val="24"/>
              </w:rPr>
            </w:pPr>
          </w:p>
        </w:tc>
        <w:tc>
          <w:tcPr>
            <w:tcW w:w="1777" w:type="dxa"/>
          </w:tcPr>
          <w:p>
            <w:pPr>
              <w:spacing w:line="360" w:lineRule="auto"/>
              <w:ind w:right="-55"/>
              <w:jc w:val="center"/>
              <w:outlineLvl w:val="0"/>
              <w:rPr>
                <w:rFonts w:asciiTheme="minorEastAsia" w:hAnsiTheme="minorEastAsia" w:eastAsiaTheme="minorEastAsia"/>
                <w:b/>
                <w:bCs/>
                <w:sz w:val="24"/>
                <w:szCs w:val="24"/>
              </w:rPr>
            </w:pPr>
          </w:p>
        </w:tc>
        <w:tc>
          <w:tcPr>
            <w:tcW w:w="914" w:type="dxa"/>
          </w:tcPr>
          <w:p>
            <w:pPr>
              <w:spacing w:line="360" w:lineRule="auto"/>
              <w:ind w:right="-55"/>
              <w:jc w:val="center"/>
              <w:outlineLvl w:val="0"/>
              <w:rPr>
                <w:rFonts w:asciiTheme="minorEastAsia" w:hAnsiTheme="minorEastAsia" w:eastAsiaTheme="minorEastAsia"/>
                <w:b/>
                <w:bCs/>
                <w:sz w:val="24"/>
                <w:szCs w:val="24"/>
              </w:rPr>
            </w:pPr>
          </w:p>
        </w:tc>
        <w:tc>
          <w:tcPr>
            <w:tcW w:w="850" w:type="dxa"/>
          </w:tcPr>
          <w:p>
            <w:pPr>
              <w:spacing w:line="360" w:lineRule="auto"/>
              <w:ind w:right="-55"/>
              <w:jc w:val="center"/>
              <w:outlineLvl w:val="0"/>
              <w:rPr>
                <w:rFonts w:asciiTheme="minorEastAsia" w:hAnsiTheme="minorEastAsia" w:eastAsiaTheme="minorEastAsia"/>
                <w:b/>
                <w:bCs/>
                <w:sz w:val="24"/>
                <w:szCs w:val="24"/>
              </w:rPr>
            </w:pPr>
          </w:p>
        </w:tc>
        <w:tc>
          <w:tcPr>
            <w:tcW w:w="992" w:type="dxa"/>
          </w:tcPr>
          <w:p>
            <w:pPr>
              <w:spacing w:line="360" w:lineRule="auto"/>
              <w:ind w:right="-55"/>
              <w:jc w:val="center"/>
              <w:outlineLvl w:val="0"/>
              <w:rPr>
                <w:rFonts w:asciiTheme="minorEastAsia" w:hAnsiTheme="minorEastAsia" w:eastAsiaTheme="minorEastAsia"/>
                <w:b/>
                <w:bCs/>
                <w:sz w:val="24"/>
                <w:szCs w:val="24"/>
              </w:rPr>
            </w:pPr>
          </w:p>
        </w:tc>
        <w:tc>
          <w:tcPr>
            <w:tcW w:w="2978" w:type="dxa"/>
          </w:tcPr>
          <w:p>
            <w:pPr>
              <w:spacing w:line="360" w:lineRule="auto"/>
              <w:ind w:right="-55"/>
              <w:jc w:val="center"/>
              <w:outlineLvl w:val="0"/>
              <w:rPr>
                <w:rFonts w:asciiTheme="minorEastAsia" w:hAnsiTheme="minorEastAsia" w:eastAsiaTheme="minorEastAsia"/>
                <w:b/>
                <w:bCs/>
                <w:sz w:val="24"/>
                <w:szCs w:val="24"/>
              </w:rPr>
            </w:pPr>
          </w:p>
        </w:tc>
        <w:tc>
          <w:tcPr>
            <w:tcW w:w="1103" w:type="dxa"/>
          </w:tcPr>
          <w:p>
            <w:pPr>
              <w:spacing w:line="360" w:lineRule="auto"/>
              <w:ind w:right="-55"/>
              <w:jc w:val="center"/>
              <w:outlineLvl w:val="0"/>
              <w:rPr>
                <w:rFonts w:asciiTheme="minorEastAsia" w:hAnsiTheme="minorEastAsia" w:eastAsiaTheme="minorEastAsia"/>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exact"/>
        </w:trPr>
        <w:tc>
          <w:tcPr>
            <w:tcW w:w="962" w:type="dxa"/>
          </w:tcPr>
          <w:p>
            <w:pPr>
              <w:spacing w:line="360" w:lineRule="auto"/>
              <w:ind w:right="-55"/>
              <w:jc w:val="center"/>
              <w:outlineLvl w:val="0"/>
              <w:rPr>
                <w:rFonts w:asciiTheme="minorEastAsia" w:hAnsiTheme="minorEastAsia" w:eastAsiaTheme="minorEastAsia"/>
                <w:b/>
                <w:bCs/>
                <w:sz w:val="24"/>
                <w:szCs w:val="24"/>
              </w:rPr>
            </w:pPr>
          </w:p>
        </w:tc>
        <w:tc>
          <w:tcPr>
            <w:tcW w:w="1777" w:type="dxa"/>
          </w:tcPr>
          <w:p>
            <w:pPr>
              <w:spacing w:line="360" w:lineRule="auto"/>
              <w:ind w:right="-55"/>
              <w:jc w:val="center"/>
              <w:outlineLvl w:val="0"/>
              <w:rPr>
                <w:rFonts w:asciiTheme="minorEastAsia" w:hAnsiTheme="minorEastAsia" w:eastAsiaTheme="minorEastAsia"/>
                <w:b/>
                <w:bCs/>
                <w:sz w:val="24"/>
                <w:szCs w:val="24"/>
              </w:rPr>
            </w:pPr>
          </w:p>
        </w:tc>
        <w:tc>
          <w:tcPr>
            <w:tcW w:w="914" w:type="dxa"/>
          </w:tcPr>
          <w:p>
            <w:pPr>
              <w:spacing w:line="360" w:lineRule="auto"/>
              <w:ind w:right="-55"/>
              <w:jc w:val="center"/>
              <w:outlineLvl w:val="0"/>
              <w:rPr>
                <w:rFonts w:asciiTheme="minorEastAsia" w:hAnsiTheme="minorEastAsia" w:eastAsiaTheme="minorEastAsia"/>
                <w:b/>
                <w:bCs/>
                <w:sz w:val="24"/>
                <w:szCs w:val="24"/>
              </w:rPr>
            </w:pPr>
          </w:p>
        </w:tc>
        <w:tc>
          <w:tcPr>
            <w:tcW w:w="850" w:type="dxa"/>
          </w:tcPr>
          <w:p>
            <w:pPr>
              <w:spacing w:line="360" w:lineRule="auto"/>
              <w:ind w:right="-55"/>
              <w:jc w:val="center"/>
              <w:outlineLvl w:val="0"/>
              <w:rPr>
                <w:rFonts w:asciiTheme="minorEastAsia" w:hAnsiTheme="minorEastAsia" w:eastAsiaTheme="minorEastAsia"/>
                <w:b/>
                <w:bCs/>
                <w:sz w:val="24"/>
                <w:szCs w:val="24"/>
              </w:rPr>
            </w:pPr>
          </w:p>
        </w:tc>
        <w:tc>
          <w:tcPr>
            <w:tcW w:w="992" w:type="dxa"/>
          </w:tcPr>
          <w:p>
            <w:pPr>
              <w:spacing w:line="360" w:lineRule="auto"/>
              <w:ind w:right="-55"/>
              <w:jc w:val="center"/>
              <w:outlineLvl w:val="0"/>
              <w:rPr>
                <w:rFonts w:asciiTheme="minorEastAsia" w:hAnsiTheme="minorEastAsia" w:eastAsiaTheme="minorEastAsia"/>
                <w:b/>
                <w:bCs/>
                <w:sz w:val="24"/>
                <w:szCs w:val="24"/>
              </w:rPr>
            </w:pPr>
          </w:p>
        </w:tc>
        <w:tc>
          <w:tcPr>
            <w:tcW w:w="2978" w:type="dxa"/>
          </w:tcPr>
          <w:p>
            <w:pPr>
              <w:spacing w:line="360" w:lineRule="auto"/>
              <w:ind w:right="-55"/>
              <w:jc w:val="center"/>
              <w:outlineLvl w:val="0"/>
              <w:rPr>
                <w:rFonts w:asciiTheme="minorEastAsia" w:hAnsiTheme="minorEastAsia" w:eastAsiaTheme="minorEastAsia"/>
                <w:b/>
                <w:bCs/>
                <w:sz w:val="24"/>
                <w:szCs w:val="24"/>
              </w:rPr>
            </w:pPr>
          </w:p>
        </w:tc>
        <w:tc>
          <w:tcPr>
            <w:tcW w:w="1103" w:type="dxa"/>
          </w:tcPr>
          <w:p>
            <w:pPr>
              <w:spacing w:line="360" w:lineRule="auto"/>
              <w:ind w:right="-55"/>
              <w:jc w:val="center"/>
              <w:outlineLvl w:val="0"/>
              <w:rPr>
                <w:rFonts w:asciiTheme="minorEastAsia" w:hAnsiTheme="minorEastAsia" w:eastAsiaTheme="minorEastAsia"/>
                <w:b/>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exact"/>
        </w:trPr>
        <w:tc>
          <w:tcPr>
            <w:tcW w:w="962" w:type="dxa"/>
          </w:tcPr>
          <w:p>
            <w:pPr>
              <w:spacing w:line="360" w:lineRule="auto"/>
              <w:ind w:right="-55"/>
              <w:jc w:val="center"/>
              <w:outlineLvl w:val="0"/>
              <w:rPr>
                <w:rFonts w:asciiTheme="minorEastAsia" w:hAnsiTheme="minorEastAsia" w:eastAsiaTheme="minorEastAsia"/>
                <w:b/>
                <w:bCs/>
                <w:sz w:val="24"/>
                <w:szCs w:val="24"/>
              </w:rPr>
            </w:pPr>
          </w:p>
        </w:tc>
        <w:tc>
          <w:tcPr>
            <w:tcW w:w="1777" w:type="dxa"/>
          </w:tcPr>
          <w:p>
            <w:pPr>
              <w:spacing w:line="360" w:lineRule="auto"/>
              <w:ind w:right="-55"/>
              <w:jc w:val="center"/>
              <w:outlineLvl w:val="0"/>
              <w:rPr>
                <w:rFonts w:asciiTheme="minorEastAsia" w:hAnsiTheme="minorEastAsia" w:eastAsiaTheme="minorEastAsia"/>
                <w:b/>
                <w:bCs/>
                <w:sz w:val="24"/>
                <w:szCs w:val="24"/>
              </w:rPr>
            </w:pPr>
          </w:p>
        </w:tc>
        <w:tc>
          <w:tcPr>
            <w:tcW w:w="914" w:type="dxa"/>
          </w:tcPr>
          <w:p>
            <w:pPr>
              <w:spacing w:line="360" w:lineRule="auto"/>
              <w:ind w:right="-55"/>
              <w:jc w:val="center"/>
              <w:outlineLvl w:val="0"/>
              <w:rPr>
                <w:rFonts w:asciiTheme="minorEastAsia" w:hAnsiTheme="minorEastAsia" w:eastAsiaTheme="minorEastAsia"/>
                <w:b/>
                <w:bCs/>
                <w:sz w:val="24"/>
                <w:szCs w:val="24"/>
              </w:rPr>
            </w:pPr>
          </w:p>
        </w:tc>
        <w:tc>
          <w:tcPr>
            <w:tcW w:w="850" w:type="dxa"/>
          </w:tcPr>
          <w:p>
            <w:pPr>
              <w:spacing w:line="360" w:lineRule="auto"/>
              <w:ind w:right="-55"/>
              <w:jc w:val="center"/>
              <w:outlineLvl w:val="0"/>
              <w:rPr>
                <w:rFonts w:asciiTheme="minorEastAsia" w:hAnsiTheme="minorEastAsia" w:eastAsiaTheme="minorEastAsia"/>
                <w:b/>
                <w:bCs/>
                <w:sz w:val="24"/>
                <w:szCs w:val="24"/>
              </w:rPr>
            </w:pPr>
          </w:p>
        </w:tc>
        <w:tc>
          <w:tcPr>
            <w:tcW w:w="992" w:type="dxa"/>
          </w:tcPr>
          <w:p>
            <w:pPr>
              <w:spacing w:line="360" w:lineRule="auto"/>
              <w:ind w:right="-55"/>
              <w:jc w:val="center"/>
              <w:outlineLvl w:val="0"/>
              <w:rPr>
                <w:rFonts w:asciiTheme="minorEastAsia" w:hAnsiTheme="minorEastAsia" w:eastAsiaTheme="minorEastAsia"/>
                <w:b/>
                <w:bCs/>
                <w:sz w:val="24"/>
                <w:szCs w:val="24"/>
              </w:rPr>
            </w:pPr>
          </w:p>
        </w:tc>
        <w:tc>
          <w:tcPr>
            <w:tcW w:w="2978" w:type="dxa"/>
          </w:tcPr>
          <w:p>
            <w:pPr>
              <w:spacing w:line="360" w:lineRule="auto"/>
              <w:ind w:right="-55"/>
              <w:jc w:val="center"/>
              <w:outlineLvl w:val="0"/>
              <w:rPr>
                <w:rFonts w:asciiTheme="minorEastAsia" w:hAnsiTheme="minorEastAsia" w:eastAsiaTheme="minorEastAsia"/>
                <w:b/>
                <w:bCs/>
                <w:sz w:val="24"/>
                <w:szCs w:val="24"/>
              </w:rPr>
            </w:pPr>
          </w:p>
        </w:tc>
        <w:tc>
          <w:tcPr>
            <w:tcW w:w="1103" w:type="dxa"/>
          </w:tcPr>
          <w:p>
            <w:pPr>
              <w:spacing w:line="360" w:lineRule="auto"/>
              <w:ind w:right="-55"/>
              <w:jc w:val="center"/>
              <w:outlineLvl w:val="0"/>
              <w:rPr>
                <w:rFonts w:asciiTheme="minorEastAsia" w:hAnsiTheme="minorEastAsia" w:eastAsiaTheme="minorEastAsia"/>
                <w:b/>
                <w:bCs/>
                <w:sz w:val="24"/>
                <w:szCs w:val="24"/>
              </w:rPr>
            </w:pPr>
          </w:p>
        </w:tc>
      </w:tr>
    </w:tbl>
    <w:p>
      <w:pPr>
        <w:ind w:left="482" w:hanging="482" w:hangingChars="150"/>
        <w:rPr>
          <w:b/>
          <w:sz w:val="32"/>
          <w:szCs w:val="32"/>
        </w:rPr>
      </w:pPr>
    </w:p>
    <w:p>
      <w:pPr>
        <w:ind w:left="482" w:hanging="482" w:hangingChars="150"/>
        <w:jc w:val="center"/>
        <w:rPr>
          <w:rFonts w:cs="宋体"/>
          <w:b/>
          <w:bCs/>
          <w:sz w:val="32"/>
          <w:szCs w:val="32"/>
        </w:rPr>
      </w:pPr>
      <w:r>
        <w:rPr>
          <w:b/>
          <w:sz w:val="32"/>
          <w:szCs w:val="32"/>
        </w:rPr>
        <w:br w:type="page"/>
      </w:r>
      <w:r>
        <w:rPr>
          <w:rFonts w:hint="eastAsia" w:cs="宋体"/>
          <w:b/>
          <w:bCs/>
          <w:sz w:val="32"/>
          <w:szCs w:val="32"/>
        </w:rPr>
        <w:t>十、主要人员基本情况表</w:t>
      </w:r>
    </w:p>
    <w:p>
      <w:r>
        <w:rPr>
          <w:rFonts w:hint="eastAsia"/>
        </w:rPr>
        <w:t>投标人名称：</w:t>
      </w:r>
      <w:r>
        <w:rPr>
          <w:rFonts w:hint="eastAsia"/>
          <w:u w:val="single"/>
        </w:rPr>
        <w:t>（签章）</w:t>
      </w:r>
      <w:r>
        <w:t xml:space="preserve">                  采购项目名称：</w:t>
      </w:r>
      <w:r>
        <w:rPr>
          <w:u w:val="single"/>
        </w:rPr>
        <w:t xml:space="preserve">           </w:t>
      </w:r>
    </w:p>
    <w:tbl>
      <w:tblPr>
        <w:tblStyle w:val="20"/>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811"/>
        <w:gridCol w:w="958"/>
        <w:gridCol w:w="1124"/>
        <w:gridCol w:w="983"/>
        <w:gridCol w:w="358"/>
        <w:gridCol w:w="1750"/>
        <w:gridCol w:w="91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60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姓 名</w:t>
            </w:r>
          </w:p>
        </w:tc>
        <w:tc>
          <w:tcPr>
            <w:tcW w:w="176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年 龄</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10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职称证书</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专 业</w:t>
            </w:r>
          </w:p>
        </w:tc>
        <w:tc>
          <w:tcPr>
            <w:tcW w:w="134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1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职 称</w:t>
            </w:r>
          </w:p>
        </w:tc>
        <w:tc>
          <w:tcPr>
            <w:tcW w:w="134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60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国家执业资格证</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专业</w:t>
            </w:r>
          </w:p>
        </w:tc>
        <w:tc>
          <w:tcPr>
            <w:tcW w:w="9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职 务</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10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拟在本项目中担任职务</w:t>
            </w:r>
          </w:p>
        </w:tc>
        <w:tc>
          <w:tcPr>
            <w:tcW w:w="225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等级</w:t>
            </w:r>
          </w:p>
        </w:tc>
        <w:tc>
          <w:tcPr>
            <w:tcW w:w="9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1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1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毕业学校</w:t>
            </w:r>
          </w:p>
        </w:tc>
        <w:tc>
          <w:tcPr>
            <w:tcW w:w="823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280"/>
              <w:jc w:val="right"/>
              <w:rPr>
                <w:sz w:val="24"/>
              </w:rPr>
            </w:pPr>
            <w:r>
              <w:rPr>
                <w:rFonts w:hint="eastAsia"/>
                <w:sz w:val="24"/>
              </w:rPr>
              <w:t>年  月毕业于         学校      系（科）学制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9840"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60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sz w:val="24"/>
              </w:rPr>
            </w:pPr>
            <w:r>
              <w:rPr>
                <w:rFonts w:hint="eastAsia"/>
                <w:sz w:val="24"/>
              </w:rPr>
              <w:t>年--  年</w:t>
            </w:r>
          </w:p>
        </w:tc>
        <w:tc>
          <w:tcPr>
            <w:tcW w:w="42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参加过项目名称</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担任何职</w:t>
            </w:r>
          </w:p>
        </w:tc>
        <w:tc>
          <w:tcPr>
            <w:tcW w:w="22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7" w:hRule="atLeast"/>
        </w:trPr>
        <w:tc>
          <w:tcPr>
            <w:tcW w:w="1603" w:type="dxa"/>
            <w:tcBorders>
              <w:top w:val="single" w:color="auto" w:sz="4" w:space="0"/>
              <w:left w:val="single" w:color="auto" w:sz="4" w:space="0"/>
              <w:bottom w:val="single" w:color="auto" w:sz="4" w:space="0"/>
              <w:right w:val="single" w:color="auto" w:sz="4" w:space="0"/>
            </w:tcBorders>
          </w:tcPr>
          <w:p>
            <w:pPr>
              <w:spacing w:line="360" w:lineRule="auto"/>
              <w:rPr>
                <w:sz w:val="24"/>
              </w:rPr>
            </w:pPr>
          </w:p>
        </w:tc>
        <w:tc>
          <w:tcPr>
            <w:tcW w:w="4234" w:type="dxa"/>
            <w:gridSpan w:val="5"/>
            <w:tcBorders>
              <w:top w:val="single" w:color="auto" w:sz="4" w:space="0"/>
              <w:left w:val="single" w:color="auto" w:sz="4" w:space="0"/>
              <w:bottom w:val="single" w:color="auto" w:sz="4" w:space="0"/>
              <w:right w:val="single" w:color="auto" w:sz="4" w:space="0"/>
            </w:tcBorders>
          </w:tcPr>
          <w:p>
            <w:pPr>
              <w:spacing w:line="360" w:lineRule="auto"/>
              <w:rPr>
                <w:sz w:val="24"/>
              </w:rPr>
            </w:pPr>
          </w:p>
        </w:tc>
        <w:tc>
          <w:tcPr>
            <w:tcW w:w="1750" w:type="dxa"/>
            <w:tcBorders>
              <w:top w:val="single" w:color="auto" w:sz="4" w:space="0"/>
              <w:left w:val="single" w:color="auto" w:sz="4" w:space="0"/>
              <w:bottom w:val="single" w:color="auto" w:sz="4" w:space="0"/>
              <w:right w:val="single" w:color="auto" w:sz="4" w:space="0"/>
            </w:tcBorders>
          </w:tcPr>
          <w:p>
            <w:pPr>
              <w:spacing w:line="360" w:lineRule="auto"/>
              <w:rPr>
                <w:sz w:val="24"/>
              </w:rPr>
            </w:pPr>
          </w:p>
        </w:tc>
        <w:tc>
          <w:tcPr>
            <w:tcW w:w="2253" w:type="dxa"/>
            <w:gridSpan w:val="2"/>
            <w:tcBorders>
              <w:top w:val="single" w:color="auto" w:sz="4" w:space="0"/>
              <w:left w:val="single" w:color="auto" w:sz="4" w:space="0"/>
              <w:bottom w:val="single" w:color="auto" w:sz="4" w:space="0"/>
              <w:right w:val="single" w:color="auto" w:sz="4" w:space="0"/>
            </w:tcBorders>
          </w:tcPr>
          <w:p>
            <w:pPr>
              <w:spacing w:line="360" w:lineRule="auto"/>
              <w:rPr>
                <w:sz w:val="24"/>
              </w:rPr>
            </w:pPr>
          </w:p>
        </w:tc>
      </w:tr>
    </w:tbl>
    <w:p>
      <w:pPr>
        <w:snapToGrid w:val="0"/>
        <w:spacing w:line="360" w:lineRule="auto"/>
        <w:ind w:right="1"/>
        <w:jc w:val="center"/>
        <w:rPr>
          <w:sz w:val="24"/>
        </w:rPr>
      </w:pPr>
    </w:p>
    <w:p>
      <w:pPr>
        <w:spacing w:line="360" w:lineRule="auto"/>
        <w:rPr>
          <w:bCs/>
          <w:sz w:val="24"/>
        </w:rPr>
      </w:pPr>
      <w:r>
        <w:rPr>
          <w:rFonts w:hint="eastAsia"/>
          <w:bCs/>
          <w:sz w:val="24"/>
        </w:rPr>
        <w:t>注：投标文件中须附有职称证书（资格证书）、学历证书、身份证、劳动合同及社保证明复印件（或扫描件）</w:t>
      </w:r>
    </w:p>
    <w:p>
      <w:pPr>
        <w:ind w:left="482" w:hanging="482" w:hangingChars="150"/>
        <w:jc w:val="center"/>
        <w:rPr>
          <w:b/>
          <w:sz w:val="32"/>
          <w:szCs w:val="32"/>
        </w:rPr>
      </w:pPr>
      <w:r>
        <w:rPr>
          <w:b/>
          <w:sz w:val="32"/>
          <w:szCs w:val="32"/>
        </w:rPr>
        <w:br w:type="page"/>
      </w:r>
    </w:p>
    <w:p>
      <w:pPr>
        <w:numPr>
          <w:ilvl w:val="0"/>
          <w:numId w:val="5"/>
        </w:numPr>
        <w:jc w:val="center"/>
        <w:rPr>
          <w:rFonts w:cs="宋体"/>
          <w:b/>
          <w:bCs/>
          <w:sz w:val="32"/>
          <w:szCs w:val="32"/>
        </w:rPr>
      </w:pPr>
      <w:r>
        <w:rPr>
          <w:rFonts w:hint="eastAsia" w:cs="宋体"/>
          <w:b/>
          <w:bCs/>
          <w:sz w:val="32"/>
          <w:szCs w:val="32"/>
        </w:rPr>
        <w:t>服务质量承诺</w:t>
      </w:r>
    </w:p>
    <w:p>
      <w:pPr>
        <w:pStyle w:val="2"/>
        <w:ind w:firstLine="0"/>
      </w:pPr>
    </w:p>
    <w:p/>
    <w:p>
      <w:pPr>
        <w:pStyle w:val="2"/>
      </w:pPr>
    </w:p>
    <w:p/>
    <w:p>
      <w:pPr>
        <w:pStyle w:val="2"/>
      </w:pPr>
    </w:p>
    <w:p/>
    <w:p>
      <w:pPr>
        <w:numPr>
          <w:ilvl w:val="0"/>
          <w:numId w:val="6"/>
        </w:numPr>
        <w:adjustRightInd w:val="0"/>
        <w:snapToGrid w:val="0"/>
        <w:spacing w:line="360" w:lineRule="auto"/>
        <w:jc w:val="center"/>
        <w:rPr>
          <w:rFonts w:cs="宋体"/>
          <w:b/>
          <w:bCs/>
          <w:sz w:val="24"/>
        </w:rPr>
      </w:pPr>
      <w:r>
        <w:rPr>
          <w:rFonts w:hint="eastAsia" w:cs="宋体"/>
          <w:b/>
          <w:bCs/>
          <w:sz w:val="32"/>
          <w:szCs w:val="32"/>
        </w:rPr>
        <w:t>投标人认为有必要提供的其他资料</w:t>
      </w:r>
    </w:p>
    <w:p>
      <w:pPr>
        <w:widowControl/>
        <w:snapToGrid w:val="0"/>
        <w:spacing w:line="360" w:lineRule="auto"/>
        <w:ind w:right="1"/>
        <w:rPr>
          <w:spacing w:val="8"/>
          <w:sz w:val="24"/>
          <w:szCs w:val="24"/>
        </w:rPr>
      </w:pPr>
      <w:r>
        <w:rPr>
          <w:rFonts w:hint="eastAsia"/>
          <w:spacing w:val="8"/>
          <w:sz w:val="24"/>
          <w:szCs w:val="24"/>
        </w:rPr>
        <w:t>1.对采购人要求和需要采购人及相关部门配合的工作的。</w:t>
      </w:r>
    </w:p>
    <w:p>
      <w:pPr>
        <w:widowControl/>
        <w:snapToGrid w:val="0"/>
        <w:spacing w:line="360" w:lineRule="auto"/>
        <w:ind w:right="1"/>
        <w:rPr>
          <w:spacing w:val="8"/>
          <w:sz w:val="24"/>
          <w:szCs w:val="24"/>
        </w:rPr>
      </w:pPr>
      <w:r>
        <w:rPr>
          <w:rFonts w:hint="eastAsia"/>
          <w:spacing w:val="8"/>
          <w:sz w:val="24"/>
          <w:szCs w:val="24"/>
        </w:rPr>
        <w:t>2.投标人认为有必要提供的其他资料。</w:t>
      </w:r>
    </w:p>
    <w:sectPr>
      <w:headerReference r:id="rId5" w:type="first"/>
      <w:headerReference r:id="rId3" w:type="default"/>
      <w:footerReference r:id="rId6" w:type="default"/>
      <w:headerReference r:id="rId4" w:type="even"/>
      <w:pgSz w:w="11907" w:h="16840"/>
      <w:pgMar w:top="1134" w:right="1140" w:bottom="1134" w:left="1247" w:header="0" w:footer="1063" w:gutter="0"/>
      <w:cols w:space="720" w:num="1"/>
      <w:docGrid w:type="lines" w:linePitch="5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rPr>
        <w:rFonts w:ascii="楷体_GB2312" w:eastAsia="楷体_GB2312"/>
        <w:spacing w:val="20"/>
      </w:rPr>
    </w:pPr>
    <w:r>
      <w:rPr>
        <w:rFonts w:ascii="楷体_GB2312" w:eastAsia="楷体_GB2312"/>
        <w:spacing w:val="20"/>
        <w:szCs w:val="21"/>
      </w:rPr>
      <w:t xml:space="preserve">- </w:t>
    </w:r>
    <w:r>
      <w:rPr>
        <w:rFonts w:ascii="楷体_GB2312" w:eastAsia="楷体_GB2312"/>
        <w:spacing w:val="20"/>
        <w:szCs w:val="21"/>
      </w:rPr>
      <w:fldChar w:fldCharType="begin"/>
    </w:r>
    <w:r>
      <w:rPr>
        <w:rFonts w:ascii="楷体_GB2312" w:eastAsia="楷体_GB2312"/>
        <w:spacing w:val="20"/>
        <w:szCs w:val="21"/>
      </w:rPr>
      <w:instrText xml:space="preserve"> PAGE </w:instrText>
    </w:r>
    <w:r>
      <w:rPr>
        <w:rFonts w:ascii="楷体_GB2312" w:eastAsia="楷体_GB2312"/>
        <w:spacing w:val="20"/>
        <w:szCs w:val="21"/>
      </w:rPr>
      <w:fldChar w:fldCharType="separate"/>
    </w:r>
    <w:r>
      <w:rPr>
        <w:rFonts w:ascii="楷体_GB2312" w:eastAsia="楷体_GB2312"/>
        <w:spacing w:val="20"/>
        <w:szCs w:val="21"/>
      </w:rPr>
      <w:t>11</w:t>
    </w:r>
    <w:r>
      <w:rPr>
        <w:rFonts w:ascii="楷体_GB2312" w:eastAsia="楷体_GB2312"/>
        <w:spacing w:val="20"/>
        <w:szCs w:val="21"/>
      </w:rPr>
      <w:fldChar w:fldCharType="end"/>
    </w:r>
    <w:r>
      <w:rPr>
        <w:rFonts w:ascii="楷体_GB2312" w:eastAsia="楷体_GB2312"/>
        <w:spacing w:val="2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2510017" o:spid="_x0000_s3074" o:spt="136" type="#_x0000_t136" style="position:absolute;left:0pt;height:67.1pt;width:603.95pt;mso-position-horizontal:center;mso-position-horizontal-relative:margin;mso-position-vertical:center;mso-position-vertical-relative:margin;rotation:20643840f;z-index:-251653120;mso-width-relative:page;mso-height-relative:page;" fillcolor="#A5A5A5" filled="t" stroked="f" coordsize="21600,21600" o:allowincell="f">
          <v:path/>
          <v:fill on="t" focussize="0,0"/>
          <v:stroke on="f"/>
          <v:imagedata o:title=""/>
          <o:lock v:ext="edit"/>
          <v:textpath on="t" fitshape="t" fitpath="t" trim="f" xscale="f" string="唐山市政府采购中心"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32510016" o:spid="_x0000_s3075" o:spt="136" type="#_x0000_t136" style="position:absolute;left:0pt;height:67.1pt;width:603.95pt;mso-position-horizontal:center;mso-position-horizontal-relative:margin;mso-position-vertical:center;mso-position-vertical-relative:margin;rotation:20643840f;z-index:-251655168;mso-width-relative:page;mso-height-relative:page;" fillcolor="#A5A5A5" filled="t" stroked="f" coordsize="21600,21600" o:allowincell="f">
          <v:path/>
          <v:fill on="t" focussize="0,0"/>
          <v:stroke on="f"/>
          <v:imagedata o:title=""/>
          <o:lock v:ext="edit"/>
          <v:textpath on="t" fitshape="t" fitpath="t" trim="f" xscale="f" string="唐山市政府采购中心"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32510015" o:spid="_x0000_s3073" o:spt="136" type="#_x0000_t136" style="position:absolute;left:0pt;height:67.1pt;width:603.95pt;mso-position-horizontal:center;mso-position-horizontal-relative:margin;mso-position-vertical:center;mso-position-vertical-relative:margin;rotation:20643840f;z-index:-251657216;mso-width-relative:page;mso-height-relative:page;" fillcolor="#A5A5A5" filled="t" stroked="f" coordsize="21600,21600" o:allowincell="f">
          <v:path/>
          <v:fill on="t" focussize="0,0"/>
          <v:stroke on="f"/>
          <v:imagedata o:title=""/>
          <o:lock v:ext="edit"/>
          <v:textpath on="t" fitshape="t" fitpath="t" trim="f" xscale="f" string="唐山市政府采购中心"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AAE90A"/>
    <w:multiLevelType w:val="singleLevel"/>
    <w:tmpl w:val="BAAAE90A"/>
    <w:lvl w:ilvl="0" w:tentative="0">
      <w:start w:val="12"/>
      <w:numFmt w:val="chineseCounting"/>
      <w:suff w:val="nothing"/>
      <w:lvlText w:val="%1、"/>
      <w:lvlJc w:val="left"/>
      <w:rPr>
        <w:rFonts w:hint="eastAsia"/>
        <w:sz w:val="32"/>
        <w:szCs w:val="32"/>
      </w:rPr>
    </w:lvl>
  </w:abstractNum>
  <w:abstractNum w:abstractNumId="1">
    <w:nsid w:val="CF8C1122"/>
    <w:multiLevelType w:val="singleLevel"/>
    <w:tmpl w:val="CF8C1122"/>
    <w:lvl w:ilvl="0" w:tentative="0">
      <w:start w:val="11"/>
      <w:numFmt w:val="chineseCounting"/>
      <w:suff w:val="nothing"/>
      <w:lvlText w:val="%1、"/>
      <w:lvlJc w:val="left"/>
      <w:rPr>
        <w:rFonts w:hint="eastAsia"/>
      </w:rPr>
    </w:lvl>
  </w:abstractNum>
  <w:abstractNum w:abstractNumId="2">
    <w:nsid w:val="23D73284"/>
    <w:multiLevelType w:val="singleLevel"/>
    <w:tmpl w:val="23D73284"/>
    <w:lvl w:ilvl="0" w:tentative="0">
      <w:start w:val="3"/>
      <w:numFmt w:val="decimal"/>
      <w:lvlText w:val="%1."/>
      <w:lvlJc w:val="left"/>
      <w:pPr>
        <w:tabs>
          <w:tab w:val="left" w:pos="312"/>
        </w:tabs>
      </w:pPr>
    </w:lvl>
  </w:abstractNum>
  <w:abstractNum w:abstractNumId="3">
    <w:nsid w:val="32B330D0"/>
    <w:multiLevelType w:val="multilevel"/>
    <w:tmpl w:val="32B330D0"/>
    <w:lvl w:ilvl="0" w:tentative="0">
      <w:start w:val="1"/>
      <w:numFmt w:val="decimal"/>
      <w:pStyle w:val="49"/>
      <w:lvlText w:val="%1、"/>
      <w:lvlJc w:val="left"/>
      <w:pPr>
        <w:tabs>
          <w:tab w:val="left" w:pos="840"/>
        </w:tabs>
        <w:ind w:left="840" w:hanging="420"/>
      </w:pPr>
      <w:rPr>
        <w:rFonts w:hint="eastAsia"/>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59A913DC"/>
    <w:multiLevelType w:val="singleLevel"/>
    <w:tmpl w:val="59A913DC"/>
    <w:lvl w:ilvl="0" w:tentative="0">
      <w:start w:val="7"/>
      <w:numFmt w:val="chineseCounting"/>
      <w:suff w:val="nothing"/>
      <w:lvlText w:val="%1、"/>
      <w:lvlJc w:val="left"/>
    </w:lvl>
  </w:abstractNum>
  <w:abstractNum w:abstractNumId="5">
    <w:nsid w:val="656D6133"/>
    <w:multiLevelType w:val="multilevel"/>
    <w:tmpl w:val="656D6133"/>
    <w:lvl w:ilvl="0" w:tentative="0">
      <w:start w:val="1"/>
      <w:numFmt w:val="chineseCountingThousand"/>
      <w:suff w:val="nothing"/>
      <w:lvlText w:val="第%1部分"/>
      <w:lvlJc w:val="center"/>
      <w:pPr>
        <w:ind w:left="252" w:firstLine="288"/>
      </w:pPr>
      <w:rPr>
        <w:rFonts w:hint="eastAsia"/>
        <w:sz w:val="28"/>
        <w:szCs w:val="28"/>
      </w:rPr>
    </w:lvl>
    <w:lvl w:ilvl="1" w:tentative="0">
      <w:start w:val="1"/>
      <w:numFmt w:val="chineseCountingThousand"/>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22"/>
    <w:rsid w:val="00000800"/>
    <w:rsid w:val="0000448C"/>
    <w:rsid w:val="00024043"/>
    <w:rsid w:val="0003635E"/>
    <w:rsid w:val="0003648B"/>
    <w:rsid w:val="00045321"/>
    <w:rsid w:val="00055748"/>
    <w:rsid w:val="00056F22"/>
    <w:rsid w:val="000602BC"/>
    <w:rsid w:val="000608F5"/>
    <w:rsid w:val="000644BB"/>
    <w:rsid w:val="000902E5"/>
    <w:rsid w:val="000923D0"/>
    <w:rsid w:val="000944F1"/>
    <w:rsid w:val="000B3103"/>
    <w:rsid w:val="000C1933"/>
    <w:rsid w:val="000D2146"/>
    <w:rsid w:val="000E133B"/>
    <w:rsid w:val="00101D3F"/>
    <w:rsid w:val="00122A47"/>
    <w:rsid w:val="001264D0"/>
    <w:rsid w:val="00140688"/>
    <w:rsid w:val="00141174"/>
    <w:rsid w:val="001419A1"/>
    <w:rsid w:val="00143AB8"/>
    <w:rsid w:val="00160D0D"/>
    <w:rsid w:val="00163768"/>
    <w:rsid w:val="00164A01"/>
    <w:rsid w:val="001736C0"/>
    <w:rsid w:val="0017742B"/>
    <w:rsid w:val="001840F5"/>
    <w:rsid w:val="00190DF2"/>
    <w:rsid w:val="001C7BF3"/>
    <w:rsid w:val="001D0EEF"/>
    <w:rsid w:val="001D33F6"/>
    <w:rsid w:val="001E213A"/>
    <w:rsid w:val="001E6236"/>
    <w:rsid w:val="0020765C"/>
    <w:rsid w:val="002136A7"/>
    <w:rsid w:val="002173B4"/>
    <w:rsid w:val="00225E89"/>
    <w:rsid w:val="00243AE4"/>
    <w:rsid w:val="0025687E"/>
    <w:rsid w:val="002654B6"/>
    <w:rsid w:val="00265843"/>
    <w:rsid w:val="00266A09"/>
    <w:rsid w:val="00267532"/>
    <w:rsid w:val="00270346"/>
    <w:rsid w:val="00284D2E"/>
    <w:rsid w:val="002D3CD0"/>
    <w:rsid w:val="002E4F33"/>
    <w:rsid w:val="002F2175"/>
    <w:rsid w:val="0030180D"/>
    <w:rsid w:val="00317505"/>
    <w:rsid w:val="00322FE0"/>
    <w:rsid w:val="00344509"/>
    <w:rsid w:val="00345DEA"/>
    <w:rsid w:val="0034741E"/>
    <w:rsid w:val="00355E3A"/>
    <w:rsid w:val="00357AD4"/>
    <w:rsid w:val="00367654"/>
    <w:rsid w:val="003740A3"/>
    <w:rsid w:val="0038646D"/>
    <w:rsid w:val="00390459"/>
    <w:rsid w:val="00390ECF"/>
    <w:rsid w:val="00392CE2"/>
    <w:rsid w:val="003B5F4E"/>
    <w:rsid w:val="003B7D6B"/>
    <w:rsid w:val="003C0AA4"/>
    <w:rsid w:val="003C69E2"/>
    <w:rsid w:val="003D6A75"/>
    <w:rsid w:val="003E5200"/>
    <w:rsid w:val="003F5F51"/>
    <w:rsid w:val="003F6EF2"/>
    <w:rsid w:val="00406B4F"/>
    <w:rsid w:val="004205C4"/>
    <w:rsid w:val="00435C83"/>
    <w:rsid w:val="00440860"/>
    <w:rsid w:val="00443B15"/>
    <w:rsid w:val="0044439C"/>
    <w:rsid w:val="00452280"/>
    <w:rsid w:val="00455565"/>
    <w:rsid w:val="00467CFA"/>
    <w:rsid w:val="0048219D"/>
    <w:rsid w:val="00494F7F"/>
    <w:rsid w:val="004B0975"/>
    <w:rsid w:val="004B1AC8"/>
    <w:rsid w:val="004D026A"/>
    <w:rsid w:val="004D51A0"/>
    <w:rsid w:val="004F4E94"/>
    <w:rsid w:val="005273A1"/>
    <w:rsid w:val="0053531E"/>
    <w:rsid w:val="00535AF1"/>
    <w:rsid w:val="005377EF"/>
    <w:rsid w:val="00537ED8"/>
    <w:rsid w:val="005509A9"/>
    <w:rsid w:val="00555173"/>
    <w:rsid w:val="005602AF"/>
    <w:rsid w:val="0056518B"/>
    <w:rsid w:val="00574A36"/>
    <w:rsid w:val="00581C21"/>
    <w:rsid w:val="00582C35"/>
    <w:rsid w:val="00590220"/>
    <w:rsid w:val="00591DEC"/>
    <w:rsid w:val="005945B0"/>
    <w:rsid w:val="005A03CD"/>
    <w:rsid w:val="005A4D4C"/>
    <w:rsid w:val="005A7C65"/>
    <w:rsid w:val="005B08DB"/>
    <w:rsid w:val="005B3128"/>
    <w:rsid w:val="005C10B5"/>
    <w:rsid w:val="005C4403"/>
    <w:rsid w:val="005D6674"/>
    <w:rsid w:val="005E01AD"/>
    <w:rsid w:val="005E2FB6"/>
    <w:rsid w:val="005E78C7"/>
    <w:rsid w:val="005F4736"/>
    <w:rsid w:val="005F4B81"/>
    <w:rsid w:val="005F4D14"/>
    <w:rsid w:val="005F52D8"/>
    <w:rsid w:val="005F5FDD"/>
    <w:rsid w:val="006011A9"/>
    <w:rsid w:val="00602696"/>
    <w:rsid w:val="00602ECB"/>
    <w:rsid w:val="00603A22"/>
    <w:rsid w:val="00604FEF"/>
    <w:rsid w:val="006120AF"/>
    <w:rsid w:val="00621AEC"/>
    <w:rsid w:val="00627546"/>
    <w:rsid w:val="00637A4F"/>
    <w:rsid w:val="006418D4"/>
    <w:rsid w:val="00646D64"/>
    <w:rsid w:val="006504D2"/>
    <w:rsid w:val="00666E19"/>
    <w:rsid w:val="006772B0"/>
    <w:rsid w:val="00677D27"/>
    <w:rsid w:val="006801D1"/>
    <w:rsid w:val="006850D8"/>
    <w:rsid w:val="006975A5"/>
    <w:rsid w:val="006A7DF8"/>
    <w:rsid w:val="006B0F9E"/>
    <w:rsid w:val="006B679B"/>
    <w:rsid w:val="006E119E"/>
    <w:rsid w:val="006E5F9B"/>
    <w:rsid w:val="006F1FC6"/>
    <w:rsid w:val="006F25B5"/>
    <w:rsid w:val="00702174"/>
    <w:rsid w:val="00702429"/>
    <w:rsid w:val="00702703"/>
    <w:rsid w:val="007325F7"/>
    <w:rsid w:val="00733A03"/>
    <w:rsid w:val="0074132C"/>
    <w:rsid w:val="0074214B"/>
    <w:rsid w:val="00745B37"/>
    <w:rsid w:val="00745EB0"/>
    <w:rsid w:val="007627E2"/>
    <w:rsid w:val="0077152A"/>
    <w:rsid w:val="00775E3F"/>
    <w:rsid w:val="00784EAA"/>
    <w:rsid w:val="00790B89"/>
    <w:rsid w:val="00791849"/>
    <w:rsid w:val="007A1CC7"/>
    <w:rsid w:val="007B3DB6"/>
    <w:rsid w:val="007B469E"/>
    <w:rsid w:val="007C0C37"/>
    <w:rsid w:val="007C3D8A"/>
    <w:rsid w:val="007D6D69"/>
    <w:rsid w:val="007E6F2F"/>
    <w:rsid w:val="00815281"/>
    <w:rsid w:val="00823C87"/>
    <w:rsid w:val="00840ACB"/>
    <w:rsid w:val="008600D8"/>
    <w:rsid w:val="008827F9"/>
    <w:rsid w:val="00882B13"/>
    <w:rsid w:val="0089681B"/>
    <w:rsid w:val="008A2847"/>
    <w:rsid w:val="008A5A88"/>
    <w:rsid w:val="008A5D52"/>
    <w:rsid w:val="008A7E00"/>
    <w:rsid w:val="008B0CB3"/>
    <w:rsid w:val="008B2EA3"/>
    <w:rsid w:val="008B5AEA"/>
    <w:rsid w:val="008D63C8"/>
    <w:rsid w:val="008E51BC"/>
    <w:rsid w:val="008F7CF2"/>
    <w:rsid w:val="00904DBA"/>
    <w:rsid w:val="00916C8F"/>
    <w:rsid w:val="00924201"/>
    <w:rsid w:val="009251C8"/>
    <w:rsid w:val="00927E55"/>
    <w:rsid w:val="009456B9"/>
    <w:rsid w:val="00953845"/>
    <w:rsid w:val="00961182"/>
    <w:rsid w:val="009675AF"/>
    <w:rsid w:val="00970C87"/>
    <w:rsid w:val="0097512C"/>
    <w:rsid w:val="00994991"/>
    <w:rsid w:val="009A0C33"/>
    <w:rsid w:val="009B10DE"/>
    <w:rsid w:val="009D2850"/>
    <w:rsid w:val="009D2C71"/>
    <w:rsid w:val="009D79A3"/>
    <w:rsid w:val="009F09CE"/>
    <w:rsid w:val="00A11FAE"/>
    <w:rsid w:val="00A15AE4"/>
    <w:rsid w:val="00A17B15"/>
    <w:rsid w:val="00A347BB"/>
    <w:rsid w:val="00A35FEF"/>
    <w:rsid w:val="00A42A2B"/>
    <w:rsid w:val="00A47273"/>
    <w:rsid w:val="00A5602F"/>
    <w:rsid w:val="00A60B79"/>
    <w:rsid w:val="00A7547A"/>
    <w:rsid w:val="00A77E45"/>
    <w:rsid w:val="00A85191"/>
    <w:rsid w:val="00A856B0"/>
    <w:rsid w:val="00A93FEA"/>
    <w:rsid w:val="00A941B7"/>
    <w:rsid w:val="00AA687A"/>
    <w:rsid w:val="00AB76FA"/>
    <w:rsid w:val="00AC029E"/>
    <w:rsid w:val="00AC03AB"/>
    <w:rsid w:val="00AC5A0C"/>
    <w:rsid w:val="00AC7373"/>
    <w:rsid w:val="00AC7E00"/>
    <w:rsid w:val="00AD12F8"/>
    <w:rsid w:val="00AD1A17"/>
    <w:rsid w:val="00AE3F8B"/>
    <w:rsid w:val="00AE5AF2"/>
    <w:rsid w:val="00AF6800"/>
    <w:rsid w:val="00B07238"/>
    <w:rsid w:val="00B113D0"/>
    <w:rsid w:val="00B14D67"/>
    <w:rsid w:val="00B22950"/>
    <w:rsid w:val="00B37CDF"/>
    <w:rsid w:val="00B5433F"/>
    <w:rsid w:val="00B54E24"/>
    <w:rsid w:val="00B611E8"/>
    <w:rsid w:val="00B6395A"/>
    <w:rsid w:val="00B70227"/>
    <w:rsid w:val="00B7654C"/>
    <w:rsid w:val="00B77895"/>
    <w:rsid w:val="00B82DFF"/>
    <w:rsid w:val="00B86A22"/>
    <w:rsid w:val="00B90CC0"/>
    <w:rsid w:val="00BA370B"/>
    <w:rsid w:val="00BC0955"/>
    <w:rsid w:val="00BC2DBF"/>
    <w:rsid w:val="00BC61D8"/>
    <w:rsid w:val="00BD3722"/>
    <w:rsid w:val="00BE3591"/>
    <w:rsid w:val="00BF2101"/>
    <w:rsid w:val="00BF4A3F"/>
    <w:rsid w:val="00C01ED5"/>
    <w:rsid w:val="00C05FBF"/>
    <w:rsid w:val="00C23DA1"/>
    <w:rsid w:val="00C3519F"/>
    <w:rsid w:val="00C412D0"/>
    <w:rsid w:val="00C46B44"/>
    <w:rsid w:val="00C4703F"/>
    <w:rsid w:val="00C53B65"/>
    <w:rsid w:val="00C55D60"/>
    <w:rsid w:val="00C57286"/>
    <w:rsid w:val="00C72C17"/>
    <w:rsid w:val="00C73C0C"/>
    <w:rsid w:val="00C74CF6"/>
    <w:rsid w:val="00C86E0D"/>
    <w:rsid w:val="00C87CEC"/>
    <w:rsid w:val="00CA1FD2"/>
    <w:rsid w:val="00CA49BB"/>
    <w:rsid w:val="00CB2952"/>
    <w:rsid w:val="00CB74EF"/>
    <w:rsid w:val="00CC530B"/>
    <w:rsid w:val="00CD6F31"/>
    <w:rsid w:val="00CE0742"/>
    <w:rsid w:val="00CE176D"/>
    <w:rsid w:val="00CE1DA0"/>
    <w:rsid w:val="00D2210C"/>
    <w:rsid w:val="00D369D5"/>
    <w:rsid w:val="00D420A9"/>
    <w:rsid w:val="00D45038"/>
    <w:rsid w:val="00D45DAA"/>
    <w:rsid w:val="00D4689F"/>
    <w:rsid w:val="00D552F8"/>
    <w:rsid w:val="00D61CB5"/>
    <w:rsid w:val="00D658A3"/>
    <w:rsid w:val="00D71D0B"/>
    <w:rsid w:val="00D77944"/>
    <w:rsid w:val="00D80E1D"/>
    <w:rsid w:val="00D82791"/>
    <w:rsid w:val="00D90D10"/>
    <w:rsid w:val="00DB0E47"/>
    <w:rsid w:val="00DB5539"/>
    <w:rsid w:val="00DC1245"/>
    <w:rsid w:val="00DD47B4"/>
    <w:rsid w:val="00DD5FFD"/>
    <w:rsid w:val="00DD7C4F"/>
    <w:rsid w:val="00DE1583"/>
    <w:rsid w:val="00DE76AA"/>
    <w:rsid w:val="00DF57FE"/>
    <w:rsid w:val="00E01916"/>
    <w:rsid w:val="00E030EA"/>
    <w:rsid w:val="00E040F5"/>
    <w:rsid w:val="00E04502"/>
    <w:rsid w:val="00E16124"/>
    <w:rsid w:val="00E2670D"/>
    <w:rsid w:val="00E32EEA"/>
    <w:rsid w:val="00E6056F"/>
    <w:rsid w:val="00E61012"/>
    <w:rsid w:val="00E75C6A"/>
    <w:rsid w:val="00E801AD"/>
    <w:rsid w:val="00E8227B"/>
    <w:rsid w:val="00E8390B"/>
    <w:rsid w:val="00E95DDB"/>
    <w:rsid w:val="00E96037"/>
    <w:rsid w:val="00E96A66"/>
    <w:rsid w:val="00EA67D7"/>
    <w:rsid w:val="00EB38E8"/>
    <w:rsid w:val="00EB47D5"/>
    <w:rsid w:val="00EB7DCF"/>
    <w:rsid w:val="00EC520D"/>
    <w:rsid w:val="00ED192F"/>
    <w:rsid w:val="00ED493F"/>
    <w:rsid w:val="00EE22C7"/>
    <w:rsid w:val="00EE487C"/>
    <w:rsid w:val="00EE5344"/>
    <w:rsid w:val="00F01305"/>
    <w:rsid w:val="00F06040"/>
    <w:rsid w:val="00F35199"/>
    <w:rsid w:val="00F50ACC"/>
    <w:rsid w:val="00F57223"/>
    <w:rsid w:val="00F746A1"/>
    <w:rsid w:val="00F75A2C"/>
    <w:rsid w:val="00F84651"/>
    <w:rsid w:val="00F95760"/>
    <w:rsid w:val="00FA1E0D"/>
    <w:rsid w:val="00FA7CFE"/>
    <w:rsid w:val="00FB154A"/>
    <w:rsid w:val="00FB51BE"/>
    <w:rsid w:val="00FD0E02"/>
    <w:rsid w:val="00FE3781"/>
    <w:rsid w:val="013F5D49"/>
    <w:rsid w:val="01612A68"/>
    <w:rsid w:val="016228B2"/>
    <w:rsid w:val="01B03854"/>
    <w:rsid w:val="01B754A5"/>
    <w:rsid w:val="022F188A"/>
    <w:rsid w:val="026B1406"/>
    <w:rsid w:val="02AB14E6"/>
    <w:rsid w:val="02B70F9C"/>
    <w:rsid w:val="02BB1262"/>
    <w:rsid w:val="02E2369C"/>
    <w:rsid w:val="02EF240C"/>
    <w:rsid w:val="03595F92"/>
    <w:rsid w:val="039D76D0"/>
    <w:rsid w:val="039F1EDC"/>
    <w:rsid w:val="03BC6591"/>
    <w:rsid w:val="03C963B8"/>
    <w:rsid w:val="03D115D0"/>
    <w:rsid w:val="03DA2473"/>
    <w:rsid w:val="040622D1"/>
    <w:rsid w:val="04093FDD"/>
    <w:rsid w:val="04113E1A"/>
    <w:rsid w:val="04423632"/>
    <w:rsid w:val="045209DA"/>
    <w:rsid w:val="04536D09"/>
    <w:rsid w:val="04913949"/>
    <w:rsid w:val="04D70631"/>
    <w:rsid w:val="04D95F8F"/>
    <w:rsid w:val="04EC280E"/>
    <w:rsid w:val="04F77EF2"/>
    <w:rsid w:val="05026A88"/>
    <w:rsid w:val="050434CC"/>
    <w:rsid w:val="05772E66"/>
    <w:rsid w:val="05F3475B"/>
    <w:rsid w:val="06153B97"/>
    <w:rsid w:val="0616660A"/>
    <w:rsid w:val="06306CE0"/>
    <w:rsid w:val="06487E07"/>
    <w:rsid w:val="06B25720"/>
    <w:rsid w:val="06C3712B"/>
    <w:rsid w:val="06CB3D5D"/>
    <w:rsid w:val="06F147B4"/>
    <w:rsid w:val="06FF13A8"/>
    <w:rsid w:val="071746D0"/>
    <w:rsid w:val="0725460F"/>
    <w:rsid w:val="07402FDA"/>
    <w:rsid w:val="0741147A"/>
    <w:rsid w:val="07575B0F"/>
    <w:rsid w:val="07800600"/>
    <w:rsid w:val="07C10502"/>
    <w:rsid w:val="07C27FA7"/>
    <w:rsid w:val="080D3087"/>
    <w:rsid w:val="080F0406"/>
    <w:rsid w:val="086B070F"/>
    <w:rsid w:val="086C2990"/>
    <w:rsid w:val="086C5A0F"/>
    <w:rsid w:val="08737F99"/>
    <w:rsid w:val="08C62B4B"/>
    <w:rsid w:val="091C7257"/>
    <w:rsid w:val="09997AB4"/>
    <w:rsid w:val="099C4563"/>
    <w:rsid w:val="09AD4987"/>
    <w:rsid w:val="09C54AFC"/>
    <w:rsid w:val="09E95996"/>
    <w:rsid w:val="09EE738F"/>
    <w:rsid w:val="0A1948F4"/>
    <w:rsid w:val="0A464F96"/>
    <w:rsid w:val="0A6919B8"/>
    <w:rsid w:val="0A79440C"/>
    <w:rsid w:val="0AAE18A3"/>
    <w:rsid w:val="0AAE34EA"/>
    <w:rsid w:val="0AC32C22"/>
    <w:rsid w:val="0B021242"/>
    <w:rsid w:val="0B033535"/>
    <w:rsid w:val="0B471A5C"/>
    <w:rsid w:val="0B7E4831"/>
    <w:rsid w:val="0BA2357B"/>
    <w:rsid w:val="0BDC4DE8"/>
    <w:rsid w:val="0BE63F9C"/>
    <w:rsid w:val="0C1B50E3"/>
    <w:rsid w:val="0C4C1734"/>
    <w:rsid w:val="0C540B77"/>
    <w:rsid w:val="0C8B0BEF"/>
    <w:rsid w:val="0CB24901"/>
    <w:rsid w:val="0D162CDB"/>
    <w:rsid w:val="0D393E5B"/>
    <w:rsid w:val="0D504E4D"/>
    <w:rsid w:val="0D620136"/>
    <w:rsid w:val="0D670BA6"/>
    <w:rsid w:val="0D857457"/>
    <w:rsid w:val="0D9E34C5"/>
    <w:rsid w:val="0DB45E4F"/>
    <w:rsid w:val="0DB45ECB"/>
    <w:rsid w:val="0DEC43FC"/>
    <w:rsid w:val="0DF01199"/>
    <w:rsid w:val="0E466CA0"/>
    <w:rsid w:val="0E5D7743"/>
    <w:rsid w:val="0E6B63FB"/>
    <w:rsid w:val="0E842357"/>
    <w:rsid w:val="0E9C1DD7"/>
    <w:rsid w:val="0EAA1B17"/>
    <w:rsid w:val="0EC26B8E"/>
    <w:rsid w:val="0EC45252"/>
    <w:rsid w:val="0ECA125B"/>
    <w:rsid w:val="0ECC55C2"/>
    <w:rsid w:val="0EDC6242"/>
    <w:rsid w:val="0EE05B72"/>
    <w:rsid w:val="0EFA3859"/>
    <w:rsid w:val="0F1C0C3D"/>
    <w:rsid w:val="0F5B027F"/>
    <w:rsid w:val="0F6B6766"/>
    <w:rsid w:val="0F96488D"/>
    <w:rsid w:val="0FA80279"/>
    <w:rsid w:val="0FAB0179"/>
    <w:rsid w:val="0FD03580"/>
    <w:rsid w:val="0FE446EA"/>
    <w:rsid w:val="0FE44E75"/>
    <w:rsid w:val="0FE57003"/>
    <w:rsid w:val="101F2CF4"/>
    <w:rsid w:val="103E0B2B"/>
    <w:rsid w:val="10487131"/>
    <w:rsid w:val="10662EC7"/>
    <w:rsid w:val="10700F5B"/>
    <w:rsid w:val="107F3A95"/>
    <w:rsid w:val="108118E4"/>
    <w:rsid w:val="108A0124"/>
    <w:rsid w:val="108A3475"/>
    <w:rsid w:val="109C5508"/>
    <w:rsid w:val="10AC7ACF"/>
    <w:rsid w:val="10B92143"/>
    <w:rsid w:val="10C84657"/>
    <w:rsid w:val="11094522"/>
    <w:rsid w:val="111668A2"/>
    <w:rsid w:val="112C7159"/>
    <w:rsid w:val="1141405F"/>
    <w:rsid w:val="11675D90"/>
    <w:rsid w:val="11953C81"/>
    <w:rsid w:val="119618C2"/>
    <w:rsid w:val="119B0F85"/>
    <w:rsid w:val="11D07CE9"/>
    <w:rsid w:val="12055791"/>
    <w:rsid w:val="120B73CD"/>
    <w:rsid w:val="122B203B"/>
    <w:rsid w:val="12623B5D"/>
    <w:rsid w:val="12B24E6B"/>
    <w:rsid w:val="12F575DF"/>
    <w:rsid w:val="12F74757"/>
    <w:rsid w:val="13782968"/>
    <w:rsid w:val="138966AA"/>
    <w:rsid w:val="13D677F7"/>
    <w:rsid w:val="13FA2AE4"/>
    <w:rsid w:val="13FB4BB9"/>
    <w:rsid w:val="140B3451"/>
    <w:rsid w:val="141C7C8C"/>
    <w:rsid w:val="142A2695"/>
    <w:rsid w:val="142B0F8F"/>
    <w:rsid w:val="14C267F0"/>
    <w:rsid w:val="14DC0EDE"/>
    <w:rsid w:val="15141830"/>
    <w:rsid w:val="1543025C"/>
    <w:rsid w:val="155F0C5B"/>
    <w:rsid w:val="15613667"/>
    <w:rsid w:val="157A4D4D"/>
    <w:rsid w:val="15803DB3"/>
    <w:rsid w:val="15C5509F"/>
    <w:rsid w:val="15D41D1F"/>
    <w:rsid w:val="15D81EA0"/>
    <w:rsid w:val="15FF023F"/>
    <w:rsid w:val="160F3257"/>
    <w:rsid w:val="163F3320"/>
    <w:rsid w:val="167068CC"/>
    <w:rsid w:val="16A06B4B"/>
    <w:rsid w:val="16A276A5"/>
    <w:rsid w:val="16E37C6E"/>
    <w:rsid w:val="16E74AFD"/>
    <w:rsid w:val="170A5976"/>
    <w:rsid w:val="172D7141"/>
    <w:rsid w:val="173D096A"/>
    <w:rsid w:val="173F7319"/>
    <w:rsid w:val="174F3769"/>
    <w:rsid w:val="17550855"/>
    <w:rsid w:val="17A351F8"/>
    <w:rsid w:val="17AA632C"/>
    <w:rsid w:val="17C75D3A"/>
    <w:rsid w:val="17F677A7"/>
    <w:rsid w:val="18104A2F"/>
    <w:rsid w:val="181B4A63"/>
    <w:rsid w:val="18276859"/>
    <w:rsid w:val="18365267"/>
    <w:rsid w:val="183750ED"/>
    <w:rsid w:val="18413F2E"/>
    <w:rsid w:val="188C37D1"/>
    <w:rsid w:val="18956237"/>
    <w:rsid w:val="18D601A3"/>
    <w:rsid w:val="18DA42F9"/>
    <w:rsid w:val="19031481"/>
    <w:rsid w:val="190E47D1"/>
    <w:rsid w:val="19165BC8"/>
    <w:rsid w:val="19280074"/>
    <w:rsid w:val="19320101"/>
    <w:rsid w:val="196E57F5"/>
    <w:rsid w:val="19705AC5"/>
    <w:rsid w:val="19C34A81"/>
    <w:rsid w:val="19C41EAD"/>
    <w:rsid w:val="19E0282E"/>
    <w:rsid w:val="19EE2883"/>
    <w:rsid w:val="1A110DBA"/>
    <w:rsid w:val="1A1D5ABB"/>
    <w:rsid w:val="1A2E4354"/>
    <w:rsid w:val="1A5F2960"/>
    <w:rsid w:val="1A631E0F"/>
    <w:rsid w:val="1A823DB2"/>
    <w:rsid w:val="1A8D0C05"/>
    <w:rsid w:val="1A960A54"/>
    <w:rsid w:val="1A9F7CBD"/>
    <w:rsid w:val="1AA115DC"/>
    <w:rsid w:val="1AC35BEB"/>
    <w:rsid w:val="1AE31F45"/>
    <w:rsid w:val="1AEC64C1"/>
    <w:rsid w:val="1B656509"/>
    <w:rsid w:val="1B861F8D"/>
    <w:rsid w:val="1BD3490D"/>
    <w:rsid w:val="1BF93131"/>
    <w:rsid w:val="1C1635D1"/>
    <w:rsid w:val="1C4E2552"/>
    <w:rsid w:val="1C58744D"/>
    <w:rsid w:val="1C6A66FE"/>
    <w:rsid w:val="1C7557AD"/>
    <w:rsid w:val="1C940AFD"/>
    <w:rsid w:val="1C9D73EB"/>
    <w:rsid w:val="1CCC1922"/>
    <w:rsid w:val="1CCE6D78"/>
    <w:rsid w:val="1D0745EB"/>
    <w:rsid w:val="1D3B03DD"/>
    <w:rsid w:val="1D796980"/>
    <w:rsid w:val="1D945ED8"/>
    <w:rsid w:val="1D9B353C"/>
    <w:rsid w:val="1DDC6B31"/>
    <w:rsid w:val="1DDF6D33"/>
    <w:rsid w:val="1E00242E"/>
    <w:rsid w:val="1E536190"/>
    <w:rsid w:val="1E730BAF"/>
    <w:rsid w:val="1E80403F"/>
    <w:rsid w:val="1F035A69"/>
    <w:rsid w:val="1F366FD8"/>
    <w:rsid w:val="1F397324"/>
    <w:rsid w:val="1F7D7F96"/>
    <w:rsid w:val="1F852FFC"/>
    <w:rsid w:val="1F8B7715"/>
    <w:rsid w:val="1FA43956"/>
    <w:rsid w:val="1FB21609"/>
    <w:rsid w:val="1FFE61E5"/>
    <w:rsid w:val="200D198D"/>
    <w:rsid w:val="201C7509"/>
    <w:rsid w:val="202B1222"/>
    <w:rsid w:val="20421727"/>
    <w:rsid w:val="206208CC"/>
    <w:rsid w:val="20C172C8"/>
    <w:rsid w:val="20CB2FEE"/>
    <w:rsid w:val="20D52ED2"/>
    <w:rsid w:val="20D82194"/>
    <w:rsid w:val="21411601"/>
    <w:rsid w:val="21764F96"/>
    <w:rsid w:val="21BA5B1D"/>
    <w:rsid w:val="22146E29"/>
    <w:rsid w:val="221F7906"/>
    <w:rsid w:val="2221338A"/>
    <w:rsid w:val="22331D7D"/>
    <w:rsid w:val="223C2DFD"/>
    <w:rsid w:val="225E5640"/>
    <w:rsid w:val="226A5E18"/>
    <w:rsid w:val="228E355C"/>
    <w:rsid w:val="229171D9"/>
    <w:rsid w:val="22B8145E"/>
    <w:rsid w:val="22BA4CF8"/>
    <w:rsid w:val="23141589"/>
    <w:rsid w:val="23152DCF"/>
    <w:rsid w:val="23181C34"/>
    <w:rsid w:val="23217229"/>
    <w:rsid w:val="2322033D"/>
    <w:rsid w:val="232D645E"/>
    <w:rsid w:val="23631C11"/>
    <w:rsid w:val="23836905"/>
    <w:rsid w:val="238A3F59"/>
    <w:rsid w:val="23B45271"/>
    <w:rsid w:val="23C268E5"/>
    <w:rsid w:val="23E10D23"/>
    <w:rsid w:val="23E85838"/>
    <w:rsid w:val="241F5CF0"/>
    <w:rsid w:val="24261A45"/>
    <w:rsid w:val="242E7482"/>
    <w:rsid w:val="24694623"/>
    <w:rsid w:val="24697F5F"/>
    <w:rsid w:val="24740341"/>
    <w:rsid w:val="247570BD"/>
    <w:rsid w:val="247F159C"/>
    <w:rsid w:val="248135F6"/>
    <w:rsid w:val="2484370E"/>
    <w:rsid w:val="2497526B"/>
    <w:rsid w:val="24F34667"/>
    <w:rsid w:val="24FF30C7"/>
    <w:rsid w:val="25005022"/>
    <w:rsid w:val="251E5BD2"/>
    <w:rsid w:val="2594336F"/>
    <w:rsid w:val="25A742BD"/>
    <w:rsid w:val="25B36D7E"/>
    <w:rsid w:val="25C86EB0"/>
    <w:rsid w:val="25E45DBD"/>
    <w:rsid w:val="25EA4157"/>
    <w:rsid w:val="26064EB7"/>
    <w:rsid w:val="26401018"/>
    <w:rsid w:val="26946679"/>
    <w:rsid w:val="26B25319"/>
    <w:rsid w:val="26C9701F"/>
    <w:rsid w:val="26FC1071"/>
    <w:rsid w:val="272E6B65"/>
    <w:rsid w:val="275E2B58"/>
    <w:rsid w:val="27AA0F85"/>
    <w:rsid w:val="27CB484B"/>
    <w:rsid w:val="27FE011F"/>
    <w:rsid w:val="28043E39"/>
    <w:rsid w:val="28411BF0"/>
    <w:rsid w:val="28675EF4"/>
    <w:rsid w:val="28700F1B"/>
    <w:rsid w:val="28765780"/>
    <w:rsid w:val="28A05444"/>
    <w:rsid w:val="28BF392C"/>
    <w:rsid w:val="28DB21B9"/>
    <w:rsid w:val="28F13154"/>
    <w:rsid w:val="2922400C"/>
    <w:rsid w:val="295753AF"/>
    <w:rsid w:val="29592C14"/>
    <w:rsid w:val="2979341D"/>
    <w:rsid w:val="29815450"/>
    <w:rsid w:val="298E11CD"/>
    <w:rsid w:val="29BE7D60"/>
    <w:rsid w:val="29D425BC"/>
    <w:rsid w:val="29DE10C7"/>
    <w:rsid w:val="29F30795"/>
    <w:rsid w:val="2A0C54D6"/>
    <w:rsid w:val="2A2752CF"/>
    <w:rsid w:val="2A89735C"/>
    <w:rsid w:val="2B2B3E06"/>
    <w:rsid w:val="2B380C1F"/>
    <w:rsid w:val="2B760F5A"/>
    <w:rsid w:val="2B8B589E"/>
    <w:rsid w:val="2B932E82"/>
    <w:rsid w:val="2B9A4993"/>
    <w:rsid w:val="2BB93190"/>
    <w:rsid w:val="2BD41DBC"/>
    <w:rsid w:val="2BEB08CB"/>
    <w:rsid w:val="2BFC5E87"/>
    <w:rsid w:val="2C0F0BCB"/>
    <w:rsid w:val="2C27448C"/>
    <w:rsid w:val="2C3A7C86"/>
    <w:rsid w:val="2C576533"/>
    <w:rsid w:val="2C7313A4"/>
    <w:rsid w:val="2C827B27"/>
    <w:rsid w:val="2CBA3240"/>
    <w:rsid w:val="2CBA5334"/>
    <w:rsid w:val="2CBD64F3"/>
    <w:rsid w:val="2CFD2099"/>
    <w:rsid w:val="2D336071"/>
    <w:rsid w:val="2D3762B5"/>
    <w:rsid w:val="2D7D51C4"/>
    <w:rsid w:val="2D9E2EF2"/>
    <w:rsid w:val="2DCA263D"/>
    <w:rsid w:val="2E1B5531"/>
    <w:rsid w:val="2E49012F"/>
    <w:rsid w:val="2E49279C"/>
    <w:rsid w:val="2E4A43B4"/>
    <w:rsid w:val="2E7B7DF8"/>
    <w:rsid w:val="2E922360"/>
    <w:rsid w:val="2EAF017F"/>
    <w:rsid w:val="2EF96E80"/>
    <w:rsid w:val="2F033718"/>
    <w:rsid w:val="2F394965"/>
    <w:rsid w:val="2F755424"/>
    <w:rsid w:val="2F7F1A5F"/>
    <w:rsid w:val="2F9E2B42"/>
    <w:rsid w:val="2FC75830"/>
    <w:rsid w:val="2FCD6D5F"/>
    <w:rsid w:val="2FE3707D"/>
    <w:rsid w:val="2FE57096"/>
    <w:rsid w:val="2FF262AE"/>
    <w:rsid w:val="301D2147"/>
    <w:rsid w:val="30245BBE"/>
    <w:rsid w:val="30311AA4"/>
    <w:rsid w:val="303C5C22"/>
    <w:rsid w:val="30446243"/>
    <w:rsid w:val="30791999"/>
    <w:rsid w:val="307B70D5"/>
    <w:rsid w:val="30866945"/>
    <w:rsid w:val="3099252E"/>
    <w:rsid w:val="309F2F32"/>
    <w:rsid w:val="30D7561F"/>
    <w:rsid w:val="30DE088F"/>
    <w:rsid w:val="30F80D10"/>
    <w:rsid w:val="310D2AA9"/>
    <w:rsid w:val="314712B1"/>
    <w:rsid w:val="315F4043"/>
    <w:rsid w:val="31B84E94"/>
    <w:rsid w:val="31C4630A"/>
    <w:rsid w:val="31D930EE"/>
    <w:rsid w:val="31E51709"/>
    <w:rsid w:val="31F473DB"/>
    <w:rsid w:val="320F41FB"/>
    <w:rsid w:val="3216203F"/>
    <w:rsid w:val="32513DC9"/>
    <w:rsid w:val="32544DF3"/>
    <w:rsid w:val="32656231"/>
    <w:rsid w:val="326E1955"/>
    <w:rsid w:val="327872F7"/>
    <w:rsid w:val="328222A0"/>
    <w:rsid w:val="328E2441"/>
    <w:rsid w:val="32F42118"/>
    <w:rsid w:val="33106925"/>
    <w:rsid w:val="33116E5F"/>
    <w:rsid w:val="332A2FA4"/>
    <w:rsid w:val="33317C5A"/>
    <w:rsid w:val="338508CD"/>
    <w:rsid w:val="33AC6756"/>
    <w:rsid w:val="33AF4031"/>
    <w:rsid w:val="33BE18CF"/>
    <w:rsid w:val="33CD08E3"/>
    <w:rsid w:val="33DD014C"/>
    <w:rsid w:val="33F976AD"/>
    <w:rsid w:val="340B1D43"/>
    <w:rsid w:val="340C0954"/>
    <w:rsid w:val="34213413"/>
    <w:rsid w:val="343C42D0"/>
    <w:rsid w:val="344E320A"/>
    <w:rsid w:val="34C312FE"/>
    <w:rsid w:val="34C95EB6"/>
    <w:rsid w:val="34D04069"/>
    <w:rsid w:val="3548198D"/>
    <w:rsid w:val="35644BCE"/>
    <w:rsid w:val="35794C58"/>
    <w:rsid w:val="359D0D1F"/>
    <w:rsid w:val="35AF44CC"/>
    <w:rsid w:val="35F05727"/>
    <w:rsid w:val="365F1B3C"/>
    <w:rsid w:val="36621CB0"/>
    <w:rsid w:val="366449DE"/>
    <w:rsid w:val="366D62DC"/>
    <w:rsid w:val="36C35DED"/>
    <w:rsid w:val="36D23AA7"/>
    <w:rsid w:val="36DD40E6"/>
    <w:rsid w:val="36E776E3"/>
    <w:rsid w:val="36F905CC"/>
    <w:rsid w:val="37227F55"/>
    <w:rsid w:val="375323EC"/>
    <w:rsid w:val="379779EF"/>
    <w:rsid w:val="379A5ED9"/>
    <w:rsid w:val="37A0038B"/>
    <w:rsid w:val="37A8699C"/>
    <w:rsid w:val="37B522EF"/>
    <w:rsid w:val="37BA3091"/>
    <w:rsid w:val="37DD4C27"/>
    <w:rsid w:val="38013F57"/>
    <w:rsid w:val="38071384"/>
    <w:rsid w:val="38215804"/>
    <w:rsid w:val="3847347F"/>
    <w:rsid w:val="385C386B"/>
    <w:rsid w:val="387A1154"/>
    <w:rsid w:val="387F5A49"/>
    <w:rsid w:val="3885452D"/>
    <w:rsid w:val="38BB56B7"/>
    <w:rsid w:val="38F22E3A"/>
    <w:rsid w:val="39055BEA"/>
    <w:rsid w:val="393C6E25"/>
    <w:rsid w:val="393E4A6F"/>
    <w:rsid w:val="39556474"/>
    <w:rsid w:val="3973088B"/>
    <w:rsid w:val="39845571"/>
    <w:rsid w:val="39FF0030"/>
    <w:rsid w:val="3A3455B9"/>
    <w:rsid w:val="3A5A2DE8"/>
    <w:rsid w:val="3A604756"/>
    <w:rsid w:val="3A6C00F0"/>
    <w:rsid w:val="3A702BB4"/>
    <w:rsid w:val="3A7D4F0B"/>
    <w:rsid w:val="3A8D6CCD"/>
    <w:rsid w:val="3AC44617"/>
    <w:rsid w:val="3AC705C5"/>
    <w:rsid w:val="3ACE36D1"/>
    <w:rsid w:val="3AED5FDE"/>
    <w:rsid w:val="3AF46F0E"/>
    <w:rsid w:val="3AFD352A"/>
    <w:rsid w:val="3B087AF5"/>
    <w:rsid w:val="3B426053"/>
    <w:rsid w:val="3B701A97"/>
    <w:rsid w:val="3B880333"/>
    <w:rsid w:val="3B971E11"/>
    <w:rsid w:val="3B985511"/>
    <w:rsid w:val="3B9F5763"/>
    <w:rsid w:val="3BC17A8E"/>
    <w:rsid w:val="3BDE6EFF"/>
    <w:rsid w:val="3BF31881"/>
    <w:rsid w:val="3C165DF9"/>
    <w:rsid w:val="3C223652"/>
    <w:rsid w:val="3C456211"/>
    <w:rsid w:val="3C5A0611"/>
    <w:rsid w:val="3C5D76DC"/>
    <w:rsid w:val="3C6A2C95"/>
    <w:rsid w:val="3C89345E"/>
    <w:rsid w:val="3C947C97"/>
    <w:rsid w:val="3CA43BAF"/>
    <w:rsid w:val="3CCA5E36"/>
    <w:rsid w:val="3D040713"/>
    <w:rsid w:val="3D0F1C6F"/>
    <w:rsid w:val="3D2E4D63"/>
    <w:rsid w:val="3D5A5467"/>
    <w:rsid w:val="3D5A64C0"/>
    <w:rsid w:val="3D763C25"/>
    <w:rsid w:val="3D7C4F7E"/>
    <w:rsid w:val="3DC2393C"/>
    <w:rsid w:val="3DF64DB9"/>
    <w:rsid w:val="3DFD2C4B"/>
    <w:rsid w:val="3E5F1F5F"/>
    <w:rsid w:val="3E5F7594"/>
    <w:rsid w:val="3E711756"/>
    <w:rsid w:val="3E7C2831"/>
    <w:rsid w:val="3E8F6AAF"/>
    <w:rsid w:val="3E965231"/>
    <w:rsid w:val="3EAB0261"/>
    <w:rsid w:val="3EC5458F"/>
    <w:rsid w:val="3ED86E70"/>
    <w:rsid w:val="3F2E05B7"/>
    <w:rsid w:val="3F994AD2"/>
    <w:rsid w:val="3FF73122"/>
    <w:rsid w:val="40054EE0"/>
    <w:rsid w:val="401408E4"/>
    <w:rsid w:val="402D1DF6"/>
    <w:rsid w:val="4039126C"/>
    <w:rsid w:val="404C327F"/>
    <w:rsid w:val="407A4EF2"/>
    <w:rsid w:val="40AF7E65"/>
    <w:rsid w:val="40BE1C72"/>
    <w:rsid w:val="40DF2F48"/>
    <w:rsid w:val="40E94DBF"/>
    <w:rsid w:val="410659B5"/>
    <w:rsid w:val="41241A15"/>
    <w:rsid w:val="41302F18"/>
    <w:rsid w:val="413B18CF"/>
    <w:rsid w:val="413F7349"/>
    <w:rsid w:val="4144503C"/>
    <w:rsid w:val="41451A89"/>
    <w:rsid w:val="41457752"/>
    <w:rsid w:val="415B42FF"/>
    <w:rsid w:val="415C2C5D"/>
    <w:rsid w:val="417D5A6C"/>
    <w:rsid w:val="418C64DD"/>
    <w:rsid w:val="419D1867"/>
    <w:rsid w:val="41BE1136"/>
    <w:rsid w:val="41E11EF5"/>
    <w:rsid w:val="41E2028B"/>
    <w:rsid w:val="41E4679B"/>
    <w:rsid w:val="42232E5F"/>
    <w:rsid w:val="43060B90"/>
    <w:rsid w:val="43183EA4"/>
    <w:rsid w:val="436644B3"/>
    <w:rsid w:val="438D2144"/>
    <w:rsid w:val="43932A78"/>
    <w:rsid w:val="43A4489F"/>
    <w:rsid w:val="43A92CCA"/>
    <w:rsid w:val="44367446"/>
    <w:rsid w:val="443E0DA3"/>
    <w:rsid w:val="44490C32"/>
    <w:rsid w:val="44783BFC"/>
    <w:rsid w:val="44846E70"/>
    <w:rsid w:val="4494285A"/>
    <w:rsid w:val="44A50FD6"/>
    <w:rsid w:val="44BA18B8"/>
    <w:rsid w:val="44BA1AA9"/>
    <w:rsid w:val="44DE2306"/>
    <w:rsid w:val="453673AB"/>
    <w:rsid w:val="45476D91"/>
    <w:rsid w:val="457B019E"/>
    <w:rsid w:val="45867830"/>
    <w:rsid w:val="458A211C"/>
    <w:rsid w:val="458C5C8B"/>
    <w:rsid w:val="45A45D2F"/>
    <w:rsid w:val="45A805DB"/>
    <w:rsid w:val="45E33650"/>
    <w:rsid w:val="45E529DD"/>
    <w:rsid w:val="46094DE4"/>
    <w:rsid w:val="461A4A5C"/>
    <w:rsid w:val="46212D15"/>
    <w:rsid w:val="46563BE5"/>
    <w:rsid w:val="4673345F"/>
    <w:rsid w:val="467C613A"/>
    <w:rsid w:val="469A324A"/>
    <w:rsid w:val="46AA5F95"/>
    <w:rsid w:val="46B7417A"/>
    <w:rsid w:val="46D52188"/>
    <w:rsid w:val="46F90994"/>
    <w:rsid w:val="47172F43"/>
    <w:rsid w:val="474303C9"/>
    <w:rsid w:val="477C6935"/>
    <w:rsid w:val="479632D7"/>
    <w:rsid w:val="479D0938"/>
    <w:rsid w:val="47A965A7"/>
    <w:rsid w:val="47C33B71"/>
    <w:rsid w:val="47EB6A34"/>
    <w:rsid w:val="48004F59"/>
    <w:rsid w:val="48107975"/>
    <w:rsid w:val="481E5462"/>
    <w:rsid w:val="48244093"/>
    <w:rsid w:val="4842387D"/>
    <w:rsid w:val="48445045"/>
    <w:rsid w:val="48526BA4"/>
    <w:rsid w:val="48561696"/>
    <w:rsid w:val="487A6677"/>
    <w:rsid w:val="48A26FE4"/>
    <w:rsid w:val="490070B7"/>
    <w:rsid w:val="491528C0"/>
    <w:rsid w:val="49A46464"/>
    <w:rsid w:val="49AA1A97"/>
    <w:rsid w:val="4A496732"/>
    <w:rsid w:val="4A936356"/>
    <w:rsid w:val="4A936C2B"/>
    <w:rsid w:val="4ABB18F1"/>
    <w:rsid w:val="4ADF4254"/>
    <w:rsid w:val="4AE22DF4"/>
    <w:rsid w:val="4B2619AB"/>
    <w:rsid w:val="4B4543C8"/>
    <w:rsid w:val="4B4616A3"/>
    <w:rsid w:val="4B6C7B1C"/>
    <w:rsid w:val="4B730723"/>
    <w:rsid w:val="4B8631F7"/>
    <w:rsid w:val="4B9C75C3"/>
    <w:rsid w:val="4BD11048"/>
    <w:rsid w:val="4BF90CB5"/>
    <w:rsid w:val="4C1360BC"/>
    <w:rsid w:val="4C6E7D2B"/>
    <w:rsid w:val="4CAE4FD7"/>
    <w:rsid w:val="4CB850A8"/>
    <w:rsid w:val="4D4002A6"/>
    <w:rsid w:val="4D485929"/>
    <w:rsid w:val="4D57161F"/>
    <w:rsid w:val="4D680050"/>
    <w:rsid w:val="4D7A3D76"/>
    <w:rsid w:val="4D8966F7"/>
    <w:rsid w:val="4D952C6E"/>
    <w:rsid w:val="4DAF182A"/>
    <w:rsid w:val="4DB30376"/>
    <w:rsid w:val="4DC06964"/>
    <w:rsid w:val="4DEC3EA8"/>
    <w:rsid w:val="4DFE4672"/>
    <w:rsid w:val="4E123D08"/>
    <w:rsid w:val="4E26300D"/>
    <w:rsid w:val="4E320F46"/>
    <w:rsid w:val="4E425C81"/>
    <w:rsid w:val="4E7A7460"/>
    <w:rsid w:val="4E7F6AC4"/>
    <w:rsid w:val="4E986CF9"/>
    <w:rsid w:val="4E9A4C01"/>
    <w:rsid w:val="4E9F3C18"/>
    <w:rsid w:val="4EA8011A"/>
    <w:rsid w:val="4F1063C7"/>
    <w:rsid w:val="4F1206D8"/>
    <w:rsid w:val="4F315931"/>
    <w:rsid w:val="4F4A1CE1"/>
    <w:rsid w:val="4FB05CDA"/>
    <w:rsid w:val="4FD90886"/>
    <w:rsid w:val="4FE85DE5"/>
    <w:rsid w:val="4FF11F80"/>
    <w:rsid w:val="50104FAA"/>
    <w:rsid w:val="50185BA7"/>
    <w:rsid w:val="502A297A"/>
    <w:rsid w:val="50485150"/>
    <w:rsid w:val="505045E0"/>
    <w:rsid w:val="5055692F"/>
    <w:rsid w:val="5062630C"/>
    <w:rsid w:val="50C03B86"/>
    <w:rsid w:val="50C6351C"/>
    <w:rsid w:val="50CA02B0"/>
    <w:rsid w:val="50CF296E"/>
    <w:rsid w:val="5145449A"/>
    <w:rsid w:val="51735095"/>
    <w:rsid w:val="51945942"/>
    <w:rsid w:val="51A607C1"/>
    <w:rsid w:val="51A73D21"/>
    <w:rsid w:val="51BB1FDF"/>
    <w:rsid w:val="51C84375"/>
    <w:rsid w:val="51D8119B"/>
    <w:rsid w:val="51E31298"/>
    <w:rsid w:val="522B04AA"/>
    <w:rsid w:val="522E5550"/>
    <w:rsid w:val="52541235"/>
    <w:rsid w:val="5275162A"/>
    <w:rsid w:val="527602C5"/>
    <w:rsid w:val="529A0CBF"/>
    <w:rsid w:val="52A87A52"/>
    <w:rsid w:val="52D02FE1"/>
    <w:rsid w:val="532A591B"/>
    <w:rsid w:val="53517DFC"/>
    <w:rsid w:val="535F23F7"/>
    <w:rsid w:val="537A34C1"/>
    <w:rsid w:val="539D0545"/>
    <w:rsid w:val="53C24395"/>
    <w:rsid w:val="53FB21E3"/>
    <w:rsid w:val="54475359"/>
    <w:rsid w:val="544E5668"/>
    <w:rsid w:val="54553F95"/>
    <w:rsid w:val="5456693F"/>
    <w:rsid w:val="54A23982"/>
    <w:rsid w:val="54AC5FDF"/>
    <w:rsid w:val="54EE1C7D"/>
    <w:rsid w:val="54F441D3"/>
    <w:rsid w:val="5510411D"/>
    <w:rsid w:val="55377FD3"/>
    <w:rsid w:val="55510D2F"/>
    <w:rsid w:val="55561C8A"/>
    <w:rsid w:val="5565026B"/>
    <w:rsid w:val="55902360"/>
    <w:rsid w:val="55AA04EA"/>
    <w:rsid w:val="55AD1537"/>
    <w:rsid w:val="55C769E9"/>
    <w:rsid w:val="55EC6A54"/>
    <w:rsid w:val="55F7601B"/>
    <w:rsid w:val="561E062D"/>
    <w:rsid w:val="562949BB"/>
    <w:rsid w:val="56533E14"/>
    <w:rsid w:val="56650DE5"/>
    <w:rsid w:val="56652FF7"/>
    <w:rsid w:val="566E320D"/>
    <w:rsid w:val="567C2E30"/>
    <w:rsid w:val="569532B9"/>
    <w:rsid w:val="56A17C74"/>
    <w:rsid w:val="56BA071B"/>
    <w:rsid w:val="56CC7047"/>
    <w:rsid w:val="56E56AC2"/>
    <w:rsid w:val="5717073A"/>
    <w:rsid w:val="57201711"/>
    <w:rsid w:val="572A0E58"/>
    <w:rsid w:val="57387D1C"/>
    <w:rsid w:val="575E5546"/>
    <w:rsid w:val="57A03D92"/>
    <w:rsid w:val="57B74790"/>
    <w:rsid w:val="57E351FD"/>
    <w:rsid w:val="57E833CE"/>
    <w:rsid w:val="58040C29"/>
    <w:rsid w:val="583E0333"/>
    <w:rsid w:val="583F500F"/>
    <w:rsid w:val="584219EB"/>
    <w:rsid w:val="58637192"/>
    <w:rsid w:val="586502FC"/>
    <w:rsid w:val="587A3BFB"/>
    <w:rsid w:val="589D2316"/>
    <w:rsid w:val="58DE32AF"/>
    <w:rsid w:val="58E8720D"/>
    <w:rsid w:val="59084919"/>
    <w:rsid w:val="590C4DF9"/>
    <w:rsid w:val="590F425A"/>
    <w:rsid w:val="5961437C"/>
    <w:rsid w:val="597504C6"/>
    <w:rsid w:val="599F5F6F"/>
    <w:rsid w:val="59A77D88"/>
    <w:rsid w:val="59C41DAB"/>
    <w:rsid w:val="59E917A2"/>
    <w:rsid w:val="59EA39CB"/>
    <w:rsid w:val="5A58257F"/>
    <w:rsid w:val="5A594C6F"/>
    <w:rsid w:val="5A7A7769"/>
    <w:rsid w:val="5A9B3732"/>
    <w:rsid w:val="5ABD2D4C"/>
    <w:rsid w:val="5AD10F6A"/>
    <w:rsid w:val="5B1D69AB"/>
    <w:rsid w:val="5B35537C"/>
    <w:rsid w:val="5BA57895"/>
    <w:rsid w:val="5BCE6E6A"/>
    <w:rsid w:val="5C105CAE"/>
    <w:rsid w:val="5C1514D3"/>
    <w:rsid w:val="5C254E9B"/>
    <w:rsid w:val="5C970CB3"/>
    <w:rsid w:val="5CA7442C"/>
    <w:rsid w:val="5CCE4009"/>
    <w:rsid w:val="5CDB23B3"/>
    <w:rsid w:val="5CEE3793"/>
    <w:rsid w:val="5CF068AE"/>
    <w:rsid w:val="5D231F47"/>
    <w:rsid w:val="5D484593"/>
    <w:rsid w:val="5D4A3F04"/>
    <w:rsid w:val="5D5030EA"/>
    <w:rsid w:val="5D5A39BC"/>
    <w:rsid w:val="5D695AF9"/>
    <w:rsid w:val="5D6A71A1"/>
    <w:rsid w:val="5D78045A"/>
    <w:rsid w:val="5D7813CA"/>
    <w:rsid w:val="5DAE77C0"/>
    <w:rsid w:val="5DB65C93"/>
    <w:rsid w:val="5DCC355C"/>
    <w:rsid w:val="5DEB2B5F"/>
    <w:rsid w:val="5DF413A5"/>
    <w:rsid w:val="5E056DF0"/>
    <w:rsid w:val="5E0D40AF"/>
    <w:rsid w:val="5E1222D7"/>
    <w:rsid w:val="5EB11DD1"/>
    <w:rsid w:val="5EE9486C"/>
    <w:rsid w:val="5EF01114"/>
    <w:rsid w:val="5EF021E6"/>
    <w:rsid w:val="5F2951F8"/>
    <w:rsid w:val="5F426AF0"/>
    <w:rsid w:val="5F6114C2"/>
    <w:rsid w:val="5F7A1A5F"/>
    <w:rsid w:val="5F867855"/>
    <w:rsid w:val="5F8C4E39"/>
    <w:rsid w:val="5F9B2539"/>
    <w:rsid w:val="5FB955CF"/>
    <w:rsid w:val="5FD52C44"/>
    <w:rsid w:val="60054461"/>
    <w:rsid w:val="6028391F"/>
    <w:rsid w:val="60397FE5"/>
    <w:rsid w:val="606E5E32"/>
    <w:rsid w:val="60B171BE"/>
    <w:rsid w:val="60DB6E06"/>
    <w:rsid w:val="61206740"/>
    <w:rsid w:val="613173C9"/>
    <w:rsid w:val="613A2FD5"/>
    <w:rsid w:val="616E4114"/>
    <w:rsid w:val="61854724"/>
    <w:rsid w:val="61B03FD8"/>
    <w:rsid w:val="61D241D3"/>
    <w:rsid w:val="61E551F6"/>
    <w:rsid w:val="62111674"/>
    <w:rsid w:val="62212C59"/>
    <w:rsid w:val="62656E34"/>
    <w:rsid w:val="62693285"/>
    <w:rsid w:val="62C074CB"/>
    <w:rsid w:val="62D36331"/>
    <w:rsid w:val="62F7055E"/>
    <w:rsid w:val="62FA26DC"/>
    <w:rsid w:val="62FD33C6"/>
    <w:rsid w:val="63093840"/>
    <w:rsid w:val="63211853"/>
    <w:rsid w:val="63397856"/>
    <w:rsid w:val="63491CF1"/>
    <w:rsid w:val="63BE1D87"/>
    <w:rsid w:val="63DC1335"/>
    <w:rsid w:val="63E372C3"/>
    <w:rsid w:val="63EC2994"/>
    <w:rsid w:val="641A3493"/>
    <w:rsid w:val="648829DD"/>
    <w:rsid w:val="64B101FB"/>
    <w:rsid w:val="64B87E6F"/>
    <w:rsid w:val="64DB2216"/>
    <w:rsid w:val="64EB45B9"/>
    <w:rsid w:val="64F75632"/>
    <w:rsid w:val="650F6514"/>
    <w:rsid w:val="651B7599"/>
    <w:rsid w:val="651C0A6B"/>
    <w:rsid w:val="651D7E51"/>
    <w:rsid w:val="653D7D4A"/>
    <w:rsid w:val="65475A74"/>
    <w:rsid w:val="656633F0"/>
    <w:rsid w:val="65C5473B"/>
    <w:rsid w:val="65DC1EAD"/>
    <w:rsid w:val="65DD4D66"/>
    <w:rsid w:val="66032500"/>
    <w:rsid w:val="662409DC"/>
    <w:rsid w:val="66333033"/>
    <w:rsid w:val="66405EF4"/>
    <w:rsid w:val="666E2C01"/>
    <w:rsid w:val="66821887"/>
    <w:rsid w:val="66901E93"/>
    <w:rsid w:val="66B47E4C"/>
    <w:rsid w:val="66C37445"/>
    <w:rsid w:val="66E4341A"/>
    <w:rsid w:val="66EF7A4E"/>
    <w:rsid w:val="66F23C2F"/>
    <w:rsid w:val="67044E9B"/>
    <w:rsid w:val="67441F28"/>
    <w:rsid w:val="675F3EFC"/>
    <w:rsid w:val="677B0395"/>
    <w:rsid w:val="67945916"/>
    <w:rsid w:val="67D06862"/>
    <w:rsid w:val="67D30B17"/>
    <w:rsid w:val="67F947A8"/>
    <w:rsid w:val="68272975"/>
    <w:rsid w:val="68535533"/>
    <w:rsid w:val="688D662A"/>
    <w:rsid w:val="68C52F61"/>
    <w:rsid w:val="68CF29C6"/>
    <w:rsid w:val="690F3FE1"/>
    <w:rsid w:val="69752DD8"/>
    <w:rsid w:val="69A218C0"/>
    <w:rsid w:val="6A041B2B"/>
    <w:rsid w:val="6A3604BF"/>
    <w:rsid w:val="6A3A6EF5"/>
    <w:rsid w:val="6A3D31D1"/>
    <w:rsid w:val="6A8043F3"/>
    <w:rsid w:val="6ACC5529"/>
    <w:rsid w:val="6AF14BF6"/>
    <w:rsid w:val="6B203DB8"/>
    <w:rsid w:val="6B351602"/>
    <w:rsid w:val="6B394544"/>
    <w:rsid w:val="6B4A09C3"/>
    <w:rsid w:val="6B564F62"/>
    <w:rsid w:val="6B7729E9"/>
    <w:rsid w:val="6B890BB9"/>
    <w:rsid w:val="6B8A089B"/>
    <w:rsid w:val="6BD36EE0"/>
    <w:rsid w:val="6C4A7BE2"/>
    <w:rsid w:val="6C60083C"/>
    <w:rsid w:val="6C7D1473"/>
    <w:rsid w:val="6C8135C9"/>
    <w:rsid w:val="6CA67CA6"/>
    <w:rsid w:val="6CA72B5B"/>
    <w:rsid w:val="6CBA78B3"/>
    <w:rsid w:val="6CDB32C2"/>
    <w:rsid w:val="6CE7487A"/>
    <w:rsid w:val="6CED4BFE"/>
    <w:rsid w:val="6D042E2A"/>
    <w:rsid w:val="6D2E578C"/>
    <w:rsid w:val="6D9235B2"/>
    <w:rsid w:val="6D96402F"/>
    <w:rsid w:val="6DC330B2"/>
    <w:rsid w:val="6DC77E36"/>
    <w:rsid w:val="6DF53519"/>
    <w:rsid w:val="6E1764CB"/>
    <w:rsid w:val="6E184234"/>
    <w:rsid w:val="6E1E0E92"/>
    <w:rsid w:val="6E303269"/>
    <w:rsid w:val="6E4E1EA8"/>
    <w:rsid w:val="6E6C23EF"/>
    <w:rsid w:val="6E8249FF"/>
    <w:rsid w:val="6EB5202E"/>
    <w:rsid w:val="6EC87DA5"/>
    <w:rsid w:val="6EF66D19"/>
    <w:rsid w:val="6F0C3D82"/>
    <w:rsid w:val="6F3B140E"/>
    <w:rsid w:val="6F3D4DCE"/>
    <w:rsid w:val="6F6437EC"/>
    <w:rsid w:val="6F6665CF"/>
    <w:rsid w:val="6F7845D7"/>
    <w:rsid w:val="6F7C789B"/>
    <w:rsid w:val="6F844244"/>
    <w:rsid w:val="6F8C79C5"/>
    <w:rsid w:val="6FC203F0"/>
    <w:rsid w:val="6FCD1C85"/>
    <w:rsid w:val="6FD45169"/>
    <w:rsid w:val="70084AA3"/>
    <w:rsid w:val="701D6547"/>
    <w:rsid w:val="70701266"/>
    <w:rsid w:val="70A565DD"/>
    <w:rsid w:val="70B922C3"/>
    <w:rsid w:val="70CD4E02"/>
    <w:rsid w:val="710211DF"/>
    <w:rsid w:val="71367464"/>
    <w:rsid w:val="71451B28"/>
    <w:rsid w:val="71493885"/>
    <w:rsid w:val="715038F7"/>
    <w:rsid w:val="716512F8"/>
    <w:rsid w:val="71DA1C5D"/>
    <w:rsid w:val="71FB0D93"/>
    <w:rsid w:val="71FD0EC8"/>
    <w:rsid w:val="722B312E"/>
    <w:rsid w:val="72403179"/>
    <w:rsid w:val="72406615"/>
    <w:rsid w:val="72632088"/>
    <w:rsid w:val="726D30C3"/>
    <w:rsid w:val="728D78CD"/>
    <w:rsid w:val="729D208D"/>
    <w:rsid w:val="72B917FF"/>
    <w:rsid w:val="72D23587"/>
    <w:rsid w:val="733C40DE"/>
    <w:rsid w:val="7342601E"/>
    <w:rsid w:val="73553E03"/>
    <w:rsid w:val="736742A1"/>
    <w:rsid w:val="73827E74"/>
    <w:rsid w:val="73AA3CC1"/>
    <w:rsid w:val="73D4140C"/>
    <w:rsid w:val="73F93B22"/>
    <w:rsid w:val="741763A8"/>
    <w:rsid w:val="74190D4A"/>
    <w:rsid w:val="743A3665"/>
    <w:rsid w:val="746351A4"/>
    <w:rsid w:val="74671F42"/>
    <w:rsid w:val="7473730C"/>
    <w:rsid w:val="7474374F"/>
    <w:rsid w:val="74920F5C"/>
    <w:rsid w:val="74D13FF5"/>
    <w:rsid w:val="74DE0D95"/>
    <w:rsid w:val="75171B38"/>
    <w:rsid w:val="7541315B"/>
    <w:rsid w:val="757A6F3C"/>
    <w:rsid w:val="758655BF"/>
    <w:rsid w:val="75D05C57"/>
    <w:rsid w:val="760443DE"/>
    <w:rsid w:val="760E779D"/>
    <w:rsid w:val="761D2B0B"/>
    <w:rsid w:val="76410EE5"/>
    <w:rsid w:val="768152FE"/>
    <w:rsid w:val="76D81A3B"/>
    <w:rsid w:val="77024A58"/>
    <w:rsid w:val="77146CCD"/>
    <w:rsid w:val="772A5383"/>
    <w:rsid w:val="775B085E"/>
    <w:rsid w:val="776D7A50"/>
    <w:rsid w:val="77776BC6"/>
    <w:rsid w:val="77C807D0"/>
    <w:rsid w:val="77DE4583"/>
    <w:rsid w:val="78081904"/>
    <w:rsid w:val="783A3FA6"/>
    <w:rsid w:val="78753769"/>
    <w:rsid w:val="787A594B"/>
    <w:rsid w:val="78C54573"/>
    <w:rsid w:val="78D07F64"/>
    <w:rsid w:val="78ED6078"/>
    <w:rsid w:val="7934752A"/>
    <w:rsid w:val="793E3633"/>
    <w:rsid w:val="795F3DD0"/>
    <w:rsid w:val="79613880"/>
    <w:rsid w:val="796F22FB"/>
    <w:rsid w:val="798D70A8"/>
    <w:rsid w:val="79B41D10"/>
    <w:rsid w:val="79C64B3C"/>
    <w:rsid w:val="7A2A0522"/>
    <w:rsid w:val="7A2F61EB"/>
    <w:rsid w:val="7A312E38"/>
    <w:rsid w:val="7A521C17"/>
    <w:rsid w:val="7A585CAC"/>
    <w:rsid w:val="7A606A28"/>
    <w:rsid w:val="7A670426"/>
    <w:rsid w:val="7A7256BF"/>
    <w:rsid w:val="7A8628F1"/>
    <w:rsid w:val="7A9F1745"/>
    <w:rsid w:val="7AAC763E"/>
    <w:rsid w:val="7AB02516"/>
    <w:rsid w:val="7B0A29CB"/>
    <w:rsid w:val="7B3761E6"/>
    <w:rsid w:val="7B3E4056"/>
    <w:rsid w:val="7B5C6355"/>
    <w:rsid w:val="7B7372FB"/>
    <w:rsid w:val="7B795F49"/>
    <w:rsid w:val="7C1F11AA"/>
    <w:rsid w:val="7C3032E7"/>
    <w:rsid w:val="7C702698"/>
    <w:rsid w:val="7C7B18FE"/>
    <w:rsid w:val="7C912374"/>
    <w:rsid w:val="7CB52264"/>
    <w:rsid w:val="7CBB58F8"/>
    <w:rsid w:val="7CBF2320"/>
    <w:rsid w:val="7CD579CE"/>
    <w:rsid w:val="7D0D2B89"/>
    <w:rsid w:val="7D133C85"/>
    <w:rsid w:val="7D1C24A3"/>
    <w:rsid w:val="7D1F4BF5"/>
    <w:rsid w:val="7D247DD2"/>
    <w:rsid w:val="7D586A6A"/>
    <w:rsid w:val="7D6029CF"/>
    <w:rsid w:val="7D7D4E5A"/>
    <w:rsid w:val="7DA6392E"/>
    <w:rsid w:val="7DB6764E"/>
    <w:rsid w:val="7DBD148E"/>
    <w:rsid w:val="7DBE2FCE"/>
    <w:rsid w:val="7DE006A4"/>
    <w:rsid w:val="7DFD425D"/>
    <w:rsid w:val="7E6B02CE"/>
    <w:rsid w:val="7E82779D"/>
    <w:rsid w:val="7EB42447"/>
    <w:rsid w:val="7ED83C6A"/>
    <w:rsid w:val="7F1E2799"/>
    <w:rsid w:val="7F1E7360"/>
    <w:rsid w:val="7F230EC4"/>
    <w:rsid w:val="7F344833"/>
    <w:rsid w:val="7F37466E"/>
    <w:rsid w:val="7F6929FF"/>
    <w:rsid w:val="7F6F540E"/>
    <w:rsid w:val="7F70446C"/>
    <w:rsid w:val="7F7542E2"/>
    <w:rsid w:val="7F8C4476"/>
    <w:rsid w:val="7F982C64"/>
    <w:rsid w:val="7FBE0A40"/>
    <w:rsid w:val="7FC9660E"/>
    <w:rsid w:val="7FD22A69"/>
    <w:rsid w:val="7FE4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8"/>
      <w:szCs w:val="28"/>
      <w:lang w:val="en-US" w:eastAsia="zh-CN" w:bidi="ar-SA"/>
    </w:rPr>
  </w:style>
  <w:style w:type="paragraph" w:styleId="2">
    <w:name w:val="heading 1"/>
    <w:basedOn w:val="1"/>
    <w:next w:val="1"/>
    <w:link w:val="26"/>
    <w:qFormat/>
    <w:uiPriority w:val="0"/>
    <w:pPr>
      <w:keepNext/>
      <w:keepLines/>
      <w:spacing w:before="340" w:after="330" w:line="578" w:lineRule="auto"/>
      <w:ind w:firstLine="525"/>
      <w:outlineLvl w:val="0"/>
    </w:pPr>
    <w:rPr>
      <w:rFonts w:ascii="Times New Roman" w:hAnsi="Times New Roman"/>
      <w:b/>
      <w:kern w:val="44"/>
      <w:szCs w:val="20"/>
    </w:rPr>
  </w:style>
  <w:style w:type="paragraph" w:styleId="3">
    <w:name w:val="heading 2"/>
    <w:basedOn w:val="1"/>
    <w:next w:val="4"/>
    <w:link w:val="27"/>
    <w:qFormat/>
    <w:uiPriority w:val="0"/>
    <w:pPr>
      <w:keepNext/>
      <w:outlineLvl w:val="1"/>
    </w:pPr>
    <w:rPr>
      <w:rFonts w:ascii="Times New Roman" w:hAnsi="Times New Roman"/>
      <w:kern w:val="2"/>
      <w:szCs w:val="20"/>
    </w:rPr>
  </w:style>
  <w:style w:type="paragraph" w:styleId="5">
    <w:name w:val="heading 3"/>
    <w:basedOn w:val="1"/>
    <w:next w:val="1"/>
    <w:link w:val="28"/>
    <w:qFormat/>
    <w:uiPriority w:val="0"/>
    <w:pPr>
      <w:keepNext/>
      <w:keepLines/>
      <w:spacing w:before="260" w:after="260" w:line="416" w:lineRule="auto"/>
      <w:outlineLvl w:val="2"/>
    </w:pPr>
    <w:rPr>
      <w:rFonts w:ascii="Times New Roman" w:hAnsi="Times New Roman"/>
      <w:b/>
      <w:kern w:val="2"/>
      <w:sz w:val="32"/>
      <w:szCs w:val="20"/>
    </w:rPr>
  </w:style>
  <w:style w:type="paragraph" w:styleId="6">
    <w:name w:val="heading 4"/>
    <w:basedOn w:val="1"/>
    <w:next w:val="1"/>
    <w:unhideWhenUsed/>
    <w:qFormat/>
    <w:uiPriority w:val="9"/>
    <w:pPr>
      <w:keepNext/>
      <w:keepLines/>
      <w:numPr>
        <w:ilvl w:val="3"/>
        <w:numId w:val="1"/>
      </w:numPr>
      <w:spacing w:before="280" w:after="290" w:line="376" w:lineRule="atLeast"/>
      <w:outlineLvl w:val="3"/>
    </w:pPr>
    <w:rPr>
      <w:rFonts w:ascii="Arial" w:hAnsi="Arial" w:eastAsia="黑体"/>
      <w:b/>
      <w:bC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12" w:lineRule="atLeast"/>
      <w:ind w:firstLine="420"/>
      <w:textAlignment w:val="baseline"/>
    </w:pPr>
    <w:rPr>
      <w:rFonts w:ascii="Times New Roman" w:hAnsi="Times New Roman"/>
    </w:rPr>
  </w:style>
  <w:style w:type="paragraph" w:styleId="7">
    <w:name w:val="toa heading"/>
    <w:basedOn w:val="1"/>
    <w:next w:val="1"/>
    <w:semiHidden/>
    <w:qFormat/>
    <w:uiPriority w:val="0"/>
    <w:pPr>
      <w:spacing w:before="120"/>
    </w:pPr>
    <w:rPr>
      <w:rFonts w:ascii="Arial" w:hAnsi="Arial" w:cs="Arial"/>
      <w:kern w:val="2"/>
      <w:sz w:val="24"/>
      <w:szCs w:val="24"/>
    </w:rPr>
  </w:style>
  <w:style w:type="paragraph" w:styleId="8">
    <w:name w:val="annotation text"/>
    <w:basedOn w:val="1"/>
    <w:link w:val="29"/>
    <w:semiHidden/>
    <w:qFormat/>
    <w:uiPriority w:val="0"/>
    <w:pPr>
      <w:adjustRightInd w:val="0"/>
      <w:spacing w:line="312" w:lineRule="atLeast"/>
      <w:jc w:val="left"/>
    </w:pPr>
    <w:rPr>
      <w:rFonts w:asciiTheme="minorHAnsi" w:hAnsiTheme="minorHAnsi" w:cstheme="minorBidi"/>
      <w:kern w:val="2"/>
      <w:szCs w:val="22"/>
    </w:rPr>
  </w:style>
  <w:style w:type="paragraph" w:styleId="9">
    <w:name w:val="Body Text"/>
    <w:basedOn w:val="1"/>
    <w:link w:val="41"/>
    <w:qFormat/>
    <w:uiPriority w:val="0"/>
    <w:pPr>
      <w:spacing w:after="120"/>
    </w:pPr>
  </w:style>
  <w:style w:type="paragraph" w:styleId="10">
    <w:name w:val="Plain Text"/>
    <w:basedOn w:val="1"/>
    <w:link w:val="33"/>
    <w:unhideWhenUsed/>
    <w:qFormat/>
    <w:uiPriority w:val="0"/>
    <w:rPr>
      <w:rFonts w:hAnsi="Courier New"/>
      <w:kern w:val="2"/>
      <w:sz w:val="21"/>
      <w:szCs w:val="20"/>
    </w:rPr>
  </w:style>
  <w:style w:type="paragraph" w:styleId="11">
    <w:name w:val="Date"/>
    <w:basedOn w:val="1"/>
    <w:next w:val="1"/>
    <w:link w:val="32"/>
    <w:qFormat/>
    <w:uiPriority w:val="0"/>
    <w:pPr>
      <w:adjustRightInd w:val="0"/>
      <w:spacing w:line="312" w:lineRule="atLeast"/>
      <w:jc w:val="right"/>
    </w:pPr>
    <w:rPr>
      <w:rFonts w:ascii="Times New Roman" w:hAnsi="Times New Roman"/>
      <w:szCs w:val="20"/>
    </w:rPr>
  </w:style>
  <w:style w:type="paragraph" w:styleId="12">
    <w:name w:val="Body Text Indent 2"/>
    <w:basedOn w:val="1"/>
    <w:link w:val="40"/>
    <w:qFormat/>
    <w:uiPriority w:val="0"/>
    <w:pPr>
      <w:adjustRightInd w:val="0"/>
      <w:spacing w:line="312" w:lineRule="atLeast"/>
      <w:ind w:firstLine="644" w:firstLineChars="200"/>
    </w:pPr>
    <w:rPr>
      <w:rFonts w:ascii="Times New Roman" w:hAnsi="Times New Roman"/>
    </w:rPr>
  </w:style>
  <w:style w:type="paragraph" w:styleId="13">
    <w:name w:val="Balloon Text"/>
    <w:basedOn w:val="1"/>
    <w:link w:val="43"/>
    <w:unhideWhenUsed/>
    <w:qFormat/>
    <w:uiPriority w:val="99"/>
    <w:rPr>
      <w:sz w:val="18"/>
      <w:szCs w:val="18"/>
    </w:rPr>
  </w:style>
  <w:style w:type="paragraph" w:styleId="14">
    <w:name w:val="footer"/>
    <w:basedOn w:val="1"/>
    <w:link w:val="39"/>
    <w:qFormat/>
    <w:uiPriority w:val="99"/>
    <w:pPr>
      <w:tabs>
        <w:tab w:val="center" w:pos="4153"/>
        <w:tab w:val="right" w:pos="8306"/>
      </w:tabs>
      <w:snapToGrid w:val="0"/>
      <w:jc w:val="left"/>
    </w:pPr>
    <w:rPr>
      <w:sz w:val="18"/>
      <w:szCs w:val="18"/>
    </w:rPr>
  </w:style>
  <w:style w:type="paragraph" w:styleId="15">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Body Text Indent 3"/>
    <w:basedOn w:val="1"/>
    <w:link w:val="31"/>
    <w:qFormat/>
    <w:uiPriority w:val="0"/>
    <w:pPr>
      <w:spacing w:after="120"/>
      <w:ind w:left="420" w:leftChars="200"/>
    </w:pPr>
    <w:rPr>
      <w:sz w:val="16"/>
      <w:szCs w:val="16"/>
    </w:rPr>
  </w:style>
  <w:style w:type="paragraph" w:styleId="18">
    <w:name w:val="Normal (Web)"/>
    <w:basedOn w:val="1"/>
    <w:unhideWhenUsed/>
    <w:qFormat/>
    <w:uiPriority w:val="99"/>
    <w:pPr>
      <w:spacing w:before="100" w:beforeAutospacing="1" w:after="100" w:afterAutospacing="1"/>
      <w:jc w:val="left"/>
    </w:pPr>
    <w:rPr>
      <w:sz w:val="24"/>
    </w:rPr>
  </w:style>
  <w:style w:type="paragraph" w:styleId="19">
    <w:name w:val="annotation subject"/>
    <w:basedOn w:val="8"/>
    <w:next w:val="8"/>
    <w:link w:val="46"/>
    <w:unhideWhenUsed/>
    <w:qFormat/>
    <w:uiPriority w:val="99"/>
    <w:pPr>
      <w:adjustRightInd/>
      <w:spacing w:line="240" w:lineRule="auto"/>
    </w:pPr>
    <w:rPr>
      <w:rFonts w:ascii="宋体" w:hAnsi="宋体" w:cs="Times New Roman"/>
      <w:b/>
      <w:bCs/>
      <w:kern w:val="0"/>
      <w:szCs w:val="28"/>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styleId="25">
    <w:name w:val="annotation reference"/>
    <w:basedOn w:val="22"/>
    <w:unhideWhenUsed/>
    <w:qFormat/>
    <w:uiPriority w:val="99"/>
    <w:rPr>
      <w:sz w:val="21"/>
      <w:szCs w:val="21"/>
    </w:rPr>
  </w:style>
  <w:style w:type="character" w:customStyle="1" w:styleId="26">
    <w:name w:val="标题 1 字符"/>
    <w:basedOn w:val="22"/>
    <w:link w:val="2"/>
    <w:qFormat/>
    <w:uiPriority w:val="0"/>
    <w:rPr>
      <w:rFonts w:ascii="Times New Roman" w:hAnsi="Times New Roman" w:eastAsia="宋体" w:cs="Times New Roman"/>
      <w:b/>
      <w:kern w:val="44"/>
      <w:sz w:val="28"/>
      <w:szCs w:val="20"/>
    </w:rPr>
  </w:style>
  <w:style w:type="character" w:customStyle="1" w:styleId="27">
    <w:name w:val="标题 2 字符"/>
    <w:basedOn w:val="22"/>
    <w:link w:val="3"/>
    <w:qFormat/>
    <w:uiPriority w:val="0"/>
    <w:rPr>
      <w:rFonts w:ascii="Times New Roman" w:hAnsi="Times New Roman" w:eastAsia="宋体" w:cs="Times New Roman"/>
      <w:sz w:val="28"/>
      <w:szCs w:val="20"/>
    </w:rPr>
  </w:style>
  <w:style w:type="character" w:customStyle="1" w:styleId="28">
    <w:name w:val="标题 3 字符"/>
    <w:basedOn w:val="22"/>
    <w:link w:val="5"/>
    <w:qFormat/>
    <w:uiPriority w:val="0"/>
    <w:rPr>
      <w:rFonts w:ascii="Times New Roman" w:hAnsi="Times New Roman" w:eastAsia="宋体" w:cs="Times New Roman"/>
      <w:b/>
      <w:sz w:val="32"/>
      <w:szCs w:val="20"/>
    </w:rPr>
  </w:style>
  <w:style w:type="character" w:customStyle="1" w:styleId="29">
    <w:name w:val="批注文字 字符"/>
    <w:link w:val="8"/>
    <w:semiHidden/>
    <w:qFormat/>
    <w:uiPriority w:val="0"/>
    <w:rPr>
      <w:rFonts w:eastAsia="宋体"/>
      <w:sz w:val="28"/>
    </w:rPr>
  </w:style>
  <w:style w:type="character" w:customStyle="1" w:styleId="30">
    <w:name w:val="article_content1"/>
    <w:qFormat/>
    <w:uiPriority w:val="0"/>
    <w:rPr>
      <w:sz w:val="21"/>
      <w:szCs w:val="21"/>
    </w:rPr>
  </w:style>
  <w:style w:type="character" w:customStyle="1" w:styleId="31">
    <w:name w:val="正文文本缩进 3 字符"/>
    <w:basedOn w:val="22"/>
    <w:link w:val="17"/>
    <w:qFormat/>
    <w:uiPriority w:val="0"/>
    <w:rPr>
      <w:rFonts w:ascii="宋体" w:hAnsi="宋体" w:eastAsia="宋体" w:cs="Times New Roman"/>
      <w:kern w:val="0"/>
      <w:sz w:val="16"/>
      <w:szCs w:val="16"/>
    </w:rPr>
  </w:style>
  <w:style w:type="character" w:customStyle="1" w:styleId="32">
    <w:name w:val="日期 字符"/>
    <w:basedOn w:val="22"/>
    <w:link w:val="11"/>
    <w:qFormat/>
    <w:uiPriority w:val="0"/>
    <w:rPr>
      <w:rFonts w:ascii="Times New Roman" w:hAnsi="Times New Roman" w:eastAsia="宋体" w:cs="Times New Roman"/>
      <w:kern w:val="0"/>
      <w:sz w:val="28"/>
      <w:szCs w:val="20"/>
    </w:rPr>
  </w:style>
  <w:style w:type="character" w:customStyle="1" w:styleId="33">
    <w:name w:val="纯文本 字符"/>
    <w:basedOn w:val="22"/>
    <w:link w:val="10"/>
    <w:qFormat/>
    <w:uiPriority w:val="0"/>
    <w:rPr>
      <w:rFonts w:ascii="宋体" w:hAnsi="Courier New" w:eastAsia="宋体" w:cs="Times New Roman"/>
      <w:szCs w:val="20"/>
    </w:rPr>
  </w:style>
  <w:style w:type="character" w:customStyle="1" w:styleId="34">
    <w:name w:val="批注文字 Char1"/>
    <w:basedOn w:val="22"/>
    <w:semiHidden/>
    <w:qFormat/>
    <w:uiPriority w:val="99"/>
    <w:rPr>
      <w:rFonts w:ascii="宋体" w:hAnsi="宋体" w:eastAsia="宋体" w:cs="Times New Roman"/>
      <w:kern w:val="0"/>
      <w:sz w:val="28"/>
      <w:szCs w:val="28"/>
    </w:rPr>
  </w:style>
  <w:style w:type="paragraph" w:customStyle="1" w:styleId="35">
    <w:name w:val="Table Paragraph"/>
    <w:basedOn w:val="1"/>
    <w:qFormat/>
    <w:uiPriority w:val="0"/>
    <w:pPr>
      <w:adjustRightInd w:val="0"/>
      <w:spacing w:line="312" w:lineRule="atLeast"/>
      <w:textAlignment w:val="baseline"/>
    </w:pPr>
    <w:rPr>
      <w:rFonts w:ascii="Times New Roman" w:hAnsi="Times New Roman"/>
    </w:rPr>
  </w:style>
  <w:style w:type="paragraph" w:customStyle="1" w:styleId="36">
    <w:name w:val="Char"/>
    <w:basedOn w:val="1"/>
    <w:qFormat/>
    <w:uiPriority w:val="0"/>
    <w:rPr>
      <w:rFonts w:ascii="Times New Roman" w:hAnsi="Times New Roman"/>
      <w:kern w:val="2"/>
      <w:sz w:val="21"/>
      <w:szCs w:val="20"/>
    </w:rPr>
  </w:style>
  <w:style w:type="paragraph" w:customStyle="1" w:styleId="37">
    <w:name w:val="p0"/>
    <w:basedOn w:val="1"/>
    <w:qFormat/>
    <w:uiPriority w:val="0"/>
    <w:pPr>
      <w:widowControl/>
      <w:adjustRightInd w:val="0"/>
      <w:spacing w:line="312" w:lineRule="atLeast"/>
      <w:textAlignment w:val="baseline"/>
    </w:pPr>
    <w:rPr>
      <w:rFonts w:ascii="Times New Roman" w:hAnsi="Times New Roman" w:cs="宋体"/>
    </w:rPr>
  </w:style>
  <w:style w:type="character" w:customStyle="1" w:styleId="38">
    <w:name w:val="页眉 字符"/>
    <w:basedOn w:val="22"/>
    <w:link w:val="15"/>
    <w:qFormat/>
    <w:uiPriority w:val="0"/>
    <w:rPr>
      <w:rFonts w:ascii="宋体" w:hAnsi="宋体" w:eastAsia="宋体" w:cs="Times New Roman"/>
      <w:kern w:val="0"/>
      <w:sz w:val="18"/>
      <w:szCs w:val="18"/>
    </w:rPr>
  </w:style>
  <w:style w:type="character" w:customStyle="1" w:styleId="39">
    <w:name w:val="页脚 字符"/>
    <w:basedOn w:val="22"/>
    <w:link w:val="14"/>
    <w:qFormat/>
    <w:uiPriority w:val="99"/>
    <w:rPr>
      <w:rFonts w:ascii="宋体" w:hAnsi="宋体" w:eastAsia="宋体" w:cs="Times New Roman"/>
      <w:kern w:val="0"/>
      <w:sz w:val="18"/>
      <w:szCs w:val="18"/>
    </w:rPr>
  </w:style>
  <w:style w:type="character" w:customStyle="1" w:styleId="40">
    <w:name w:val="正文文本缩进 2 字符"/>
    <w:basedOn w:val="22"/>
    <w:link w:val="12"/>
    <w:qFormat/>
    <w:uiPriority w:val="0"/>
    <w:rPr>
      <w:rFonts w:ascii="Times New Roman" w:hAnsi="Times New Roman" w:eastAsia="宋体" w:cs="Times New Roman"/>
      <w:kern w:val="0"/>
      <w:sz w:val="28"/>
      <w:szCs w:val="28"/>
    </w:rPr>
  </w:style>
  <w:style w:type="character" w:customStyle="1" w:styleId="41">
    <w:name w:val="正文文本 字符"/>
    <w:basedOn w:val="22"/>
    <w:link w:val="9"/>
    <w:qFormat/>
    <w:uiPriority w:val="0"/>
    <w:rPr>
      <w:rFonts w:ascii="宋体" w:hAnsi="宋体" w:eastAsia="宋体" w:cs="Times New Roman"/>
      <w:kern w:val="0"/>
      <w:sz w:val="28"/>
      <w:szCs w:val="28"/>
    </w:rPr>
  </w:style>
  <w:style w:type="paragraph" w:customStyle="1" w:styleId="42">
    <w:name w:val="Char Char Char Char"/>
    <w:basedOn w:val="1"/>
    <w:qFormat/>
    <w:uiPriority w:val="0"/>
    <w:pPr>
      <w:widowControl/>
      <w:spacing w:after="160" w:line="240" w:lineRule="exact"/>
      <w:jc w:val="left"/>
    </w:pPr>
    <w:rPr>
      <w:rFonts w:ascii="Verdana" w:hAnsi="Verdana" w:eastAsia="仿宋_GB2312"/>
      <w:sz w:val="24"/>
      <w:szCs w:val="20"/>
      <w:lang w:eastAsia="en-US"/>
    </w:rPr>
  </w:style>
  <w:style w:type="character" w:customStyle="1" w:styleId="43">
    <w:name w:val="批注框文本 字符"/>
    <w:basedOn w:val="22"/>
    <w:link w:val="13"/>
    <w:semiHidden/>
    <w:qFormat/>
    <w:uiPriority w:val="99"/>
    <w:rPr>
      <w:rFonts w:ascii="宋体" w:hAnsi="宋体" w:eastAsia="宋体" w:cs="Times New Roman"/>
      <w:kern w:val="0"/>
      <w:sz w:val="18"/>
      <w:szCs w:val="18"/>
    </w:rPr>
  </w:style>
  <w:style w:type="paragraph" w:customStyle="1" w:styleId="44">
    <w:name w:val="reader-word-layer"/>
    <w:basedOn w:val="1"/>
    <w:qFormat/>
    <w:uiPriority w:val="0"/>
    <w:pPr>
      <w:widowControl/>
      <w:spacing w:before="100" w:beforeAutospacing="1" w:after="100" w:afterAutospacing="1"/>
      <w:jc w:val="left"/>
    </w:pPr>
    <w:rPr>
      <w:rFonts w:cs="宋体"/>
      <w:sz w:val="24"/>
      <w:szCs w:val="24"/>
    </w:rPr>
  </w:style>
  <w:style w:type="paragraph" w:customStyle="1" w:styleId="45">
    <w:name w:val="列出段落1"/>
    <w:basedOn w:val="1"/>
    <w:qFormat/>
    <w:uiPriority w:val="34"/>
    <w:pPr>
      <w:ind w:firstLine="420" w:firstLineChars="200"/>
    </w:pPr>
  </w:style>
  <w:style w:type="character" w:customStyle="1" w:styleId="46">
    <w:name w:val="批注主题 字符"/>
    <w:basedOn w:val="29"/>
    <w:link w:val="19"/>
    <w:semiHidden/>
    <w:qFormat/>
    <w:uiPriority w:val="99"/>
    <w:rPr>
      <w:rFonts w:ascii="宋体" w:hAnsi="宋体" w:eastAsia="宋体" w:cs="Times New Roman"/>
      <w:b/>
      <w:bCs/>
      <w:kern w:val="0"/>
      <w:sz w:val="28"/>
      <w:szCs w:val="28"/>
    </w:rPr>
  </w:style>
  <w:style w:type="paragraph" w:customStyle="1" w:styleId="47">
    <w:name w:val="样式1"/>
    <w:basedOn w:val="1"/>
    <w:qFormat/>
    <w:uiPriority w:val="0"/>
    <w:rPr>
      <w:sz w:val="21"/>
      <w:szCs w:val="21"/>
    </w:rPr>
  </w:style>
  <w:style w:type="paragraph" w:customStyle="1" w:styleId="48">
    <w:name w:val="样式 标题 4 + 段前: 5 磅 段后: 5 磅 行距: 单倍行距"/>
    <w:basedOn w:val="6"/>
    <w:qFormat/>
    <w:uiPriority w:val="0"/>
    <w:pPr>
      <w:numPr>
        <w:ilvl w:val="0"/>
        <w:numId w:val="0"/>
      </w:numPr>
      <w:tabs>
        <w:tab w:val="left" w:pos="2100"/>
      </w:tabs>
      <w:spacing w:before="100" w:after="100" w:line="240" w:lineRule="auto"/>
      <w:ind w:left="2100" w:hanging="420"/>
    </w:pPr>
    <w:rPr>
      <w:rFonts w:cs="宋体"/>
      <w:szCs w:val="20"/>
    </w:rPr>
  </w:style>
  <w:style w:type="paragraph" w:customStyle="1" w:styleId="49">
    <w:name w:val="样式 标题 2 + 宋体 五号 非加粗 黑色"/>
    <w:basedOn w:val="3"/>
    <w:qFormat/>
    <w:uiPriority w:val="0"/>
    <w:pPr>
      <w:numPr>
        <w:ilvl w:val="0"/>
        <w:numId w:val="2"/>
      </w:numPr>
    </w:pPr>
    <w:rPr>
      <w:rFonts w:ascii="宋体" w:hAnsi="宋体"/>
      <w:color w:val="000000"/>
      <w:sz w:val="21"/>
    </w:rPr>
  </w:style>
  <w:style w:type="paragraph" w:customStyle="1" w:styleId="50">
    <w:name w:val="样式 标题 3h3H3sect1.2.3 + 五号 段前: 6 磅 段后: 6 磅 行距: 单倍行距"/>
    <w:basedOn w:val="5"/>
    <w:qFormat/>
    <w:uiPriority w:val="0"/>
    <w:pPr>
      <w:tabs>
        <w:tab w:val="left" w:pos="1680"/>
      </w:tabs>
      <w:spacing w:before="120" w:after="120" w:line="240" w:lineRule="auto"/>
      <w:ind w:left="1680" w:hanging="420"/>
    </w:pPr>
    <w:rPr>
      <w:rFonts w:cs="宋体"/>
      <w:sz w:val="21"/>
    </w:rPr>
  </w:style>
  <w:style w:type="paragraph" w:customStyle="1" w:styleId="51">
    <w:name w:val="正文1"/>
    <w:qFormat/>
    <w:uiPriority w:val="0"/>
    <w:pPr>
      <w:widowControl w:val="0"/>
      <w:jc w:val="both"/>
    </w:pPr>
    <w:rPr>
      <w:rFonts w:ascii="Calibri" w:hAnsi="Calibri" w:eastAsia="宋体" w:cs="Times New Roman"/>
      <w:lang w:val="en-US" w:eastAsia="zh-CN" w:bidi="ar-SA"/>
    </w:rPr>
  </w:style>
  <w:style w:type="paragraph" w:styleId="5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A87B4-FE48-422A-B5B3-67AB1C99DC0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3362</Words>
  <Characters>19169</Characters>
  <Lines>159</Lines>
  <Paragraphs>44</Paragraphs>
  <TotalTime>5</TotalTime>
  <ScaleCrop>false</ScaleCrop>
  <LinksUpToDate>false</LinksUpToDate>
  <CharactersWithSpaces>22487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2016-12-05T08:48:00Z</dcterms:created>
  <dc:creator>admin</dc:creator>
  <cp:lastModifiedBy>星光彤阳</cp:lastModifiedBy>
  <cp:lastPrinted>2020-03-17T08:46:00Z</cp:lastPrinted>
  <dcterms:modified xsi:type="dcterms:W3CDTF">2020-05-12T06:49:16Z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