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69" w:rsidRDefault="00B06E69" w:rsidP="00A65BFD">
      <w:pPr>
        <w:jc w:val="center"/>
        <w:rPr>
          <w:rFonts w:ascii="宋体"/>
          <w:b/>
          <w:color w:val="000000"/>
          <w:sz w:val="72"/>
        </w:rPr>
      </w:pPr>
    </w:p>
    <w:p w:rsidR="00B06E69" w:rsidRDefault="00B06E69" w:rsidP="00A65BFD">
      <w:pPr>
        <w:jc w:val="center"/>
        <w:rPr>
          <w:rFonts w:ascii="宋体"/>
          <w:b/>
          <w:color w:val="000000"/>
          <w:sz w:val="72"/>
        </w:rPr>
      </w:pPr>
      <w:r>
        <w:rPr>
          <w:rFonts w:ascii="宋体" w:hAnsi="宋体"/>
          <w:b/>
          <w:color w:val="000000"/>
          <w:sz w:val="72"/>
        </w:rPr>
        <w:t>2020</w:t>
      </w:r>
      <w:r>
        <w:rPr>
          <w:rFonts w:ascii="宋体" w:hAnsi="宋体" w:hint="eastAsia"/>
          <w:b/>
          <w:color w:val="000000"/>
          <w:sz w:val="72"/>
        </w:rPr>
        <w:t>年唐山市部门绩效（草案）</w:t>
      </w:r>
    </w:p>
    <w:p w:rsidR="00B06E69" w:rsidRDefault="00B06E69" w:rsidP="00A65BFD">
      <w:pPr>
        <w:jc w:val="center"/>
        <w:rPr>
          <w:rFonts w:ascii="宋体"/>
          <w:b/>
          <w:color w:val="000000"/>
          <w:sz w:val="72"/>
        </w:rPr>
      </w:pPr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</w:pPr>
      <w:r>
        <w:rPr>
          <w:rFonts w:ascii="楷体" w:eastAsia="楷体" w:hAnsi="宋体" w:hint="eastAsia"/>
          <w:b/>
          <w:color w:val="000000"/>
          <w:sz w:val="52"/>
        </w:rPr>
        <w:t>唐山市科学技术协会</w:t>
      </w:r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</w:pPr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</w:pPr>
      <w:r>
        <w:rPr>
          <w:rFonts w:ascii="楷体" w:eastAsia="楷体" w:hAnsi="宋体" w:hint="eastAsia"/>
          <w:b/>
          <w:color w:val="000000"/>
          <w:sz w:val="52"/>
        </w:rPr>
        <w:t>唐山市科学技术协会编制</w:t>
      </w:r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  <w:sectPr w:rsidR="00B06E69" w:rsidSect="00A65BF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宋体" w:hint="eastAsia"/>
          <w:b/>
          <w:color w:val="000000"/>
          <w:sz w:val="52"/>
        </w:rPr>
        <w:t>唐山市财政局审核</w:t>
      </w:r>
    </w:p>
    <w:p w:rsidR="00B06E69" w:rsidRPr="00A65BFD" w:rsidRDefault="00B06E69" w:rsidP="00A65BFD">
      <w:pPr>
        <w:jc w:val="center"/>
        <w:rPr>
          <w:rFonts w:ascii="宋体"/>
          <w:b/>
          <w:noProof/>
          <w:color w:val="000000"/>
          <w:sz w:val="32"/>
        </w:rPr>
      </w:pPr>
      <w:r w:rsidRPr="00A65BFD">
        <w:rPr>
          <w:rFonts w:ascii="宋体" w:hAnsi="宋体" w:hint="eastAsia"/>
          <w:b/>
          <w:color w:val="000000"/>
          <w:sz w:val="32"/>
        </w:rPr>
        <w:t>目</w:t>
      </w:r>
      <w:r w:rsidRPr="00A65BFD">
        <w:rPr>
          <w:rFonts w:ascii="宋体" w:hAnsi="宋体"/>
          <w:b/>
          <w:color w:val="000000"/>
          <w:sz w:val="32"/>
        </w:rPr>
        <w:t xml:space="preserve"> </w:t>
      </w:r>
      <w:r w:rsidRPr="00A65BFD">
        <w:rPr>
          <w:rFonts w:ascii="宋体" w:hAnsi="宋体" w:hint="eastAsia"/>
          <w:b/>
          <w:color w:val="000000"/>
          <w:sz w:val="32"/>
        </w:rPr>
        <w:t>录</w:t>
      </w:r>
      <w:r w:rsidRPr="00A65BFD">
        <w:rPr>
          <w:rFonts w:ascii="宋体" w:hAnsi="宋体"/>
          <w:b/>
          <w:color w:val="000000"/>
          <w:sz w:val="32"/>
        </w:rPr>
        <w:fldChar w:fldCharType="begin"/>
      </w:r>
      <w:r w:rsidRPr="00A65BFD">
        <w:rPr>
          <w:rFonts w:ascii="宋体" w:hAnsi="宋体"/>
          <w:b/>
          <w:color w:val="000000"/>
          <w:sz w:val="32"/>
        </w:rPr>
        <w:instrText xml:space="preserve"> TOC \o "1-3" \h \u </w:instrText>
      </w:r>
      <w:r w:rsidRPr="00A65BFD">
        <w:rPr>
          <w:rFonts w:ascii="宋体" w:hAnsi="宋体"/>
          <w:b/>
          <w:color w:val="000000"/>
          <w:sz w:val="32"/>
        </w:rPr>
        <w:fldChar w:fldCharType="separate"/>
      </w:r>
    </w:p>
    <w:p w:rsidR="00B06E69" w:rsidRPr="00A65BFD" w:rsidRDefault="00B06E69">
      <w:pPr>
        <w:pStyle w:val="TOC1"/>
        <w:tabs>
          <w:tab w:val="right" w:leader="dot" w:pos="8296"/>
        </w:tabs>
        <w:rPr>
          <w:rFonts w:ascii="宋体"/>
          <w:b/>
          <w:noProof/>
          <w:color w:val="000000"/>
          <w:sz w:val="32"/>
        </w:rPr>
      </w:pPr>
      <w:hyperlink w:anchor="_Toc28779202" w:history="1">
        <w:r w:rsidRPr="00A65BFD">
          <w:rPr>
            <w:rStyle w:val="Hyperlink"/>
            <w:rFonts w:ascii="宋体" w:hAnsi="宋体" w:hint="eastAsia"/>
            <w:b/>
            <w:noProof/>
            <w:color w:val="000000"/>
            <w:sz w:val="32"/>
            <w:u w:val="none"/>
          </w:rPr>
          <w:t>部门总体绩效目标及保障措施</w:t>
        </w:r>
        <w:r w:rsidRPr="00A65BFD">
          <w:rPr>
            <w:rFonts w:ascii="宋体"/>
            <w:b/>
            <w:noProof/>
            <w:color w:val="000000"/>
            <w:sz w:val="32"/>
          </w:rPr>
          <w:tab/>
        </w:r>
        <w:r w:rsidRPr="00A65BFD">
          <w:rPr>
            <w:rFonts w:ascii="宋体" w:hAnsi="宋体"/>
            <w:b/>
            <w:noProof/>
            <w:color w:val="000000"/>
            <w:sz w:val="32"/>
          </w:rPr>
          <w:fldChar w:fldCharType="begin"/>
        </w:r>
        <w:r w:rsidRPr="00A65BFD">
          <w:rPr>
            <w:rFonts w:ascii="宋体" w:hAnsi="宋体"/>
            <w:b/>
            <w:noProof/>
            <w:color w:val="000000"/>
            <w:sz w:val="32"/>
          </w:rPr>
          <w:instrText xml:space="preserve"> PAGEREF _Toc28779202 \h </w:instrText>
        </w:r>
        <w:r w:rsidRPr="00A65BFD">
          <w:rPr>
            <w:rFonts w:ascii="宋体" w:hint="eastAsia"/>
            <w:b/>
            <w:noProof/>
            <w:color w:val="000000"/>
            <w:sz w:val="32"/>
          </w:rPr>
        </w:r>
        <w:r w:rsidRPr="00A65BFD">
          <w:rPr>
            <w:rFonts w:ascii="宋体" w:hAnsi="宋体"/>
            <w:b/>
            <w:noProof/>
            <w:color w:val="000000"/>
            <w:sz w:val="32"/>
          </w:rPr>
          <w:fldChar w:fldCharType="separate"/>
        </w:r>
        <w:r w:rsidRPr="00A65BFD">
          <w:rPr>
            <w:rFonts w:ascii="宋体" w:hAnsi="宋体"/>
            <w:b/>
            <w:noProof/>
            <w:color w:val="000000"/>
            <w:sz w:val="32"/>
          </w:rPr>
          <w:t>1</w:t>
        </w:r>
        <w:r w:rsidRPr="00A65BFD">
          <w:rPr>
            <w:rFonts w:ascii="宋体" w:hAnsi="宋体"/>
            <w:b/>
            <w:noProof/>
            <w:color w:val="000000"/>
            <w:sz w:val="32"/>
          </w:rPr>
          <w:fldChar w:fldCharType="end"/>
        </w:r>
      </w:hyperlink>
    </w:p>
    <w:p w:rsidR="00B06E69" w:rsidRPr="00A65BFD" w:rsidRDefault="00B06E69">
      <w:pPr>
        <w:pStyle w:val="TOC1"/>
        <w:tabs>
          <w:tab w:val="right" w:leader="dot" w:pos="8296"/>
        </w:tabs>
        <w:rPr>
          <w:rFonts w:ascii="宋体"/>
          <w:b/>
          <w:noProof/>
          <w:color w:val="000000"/>
          <w:sz w:val="32"/>
        </w:rPr>
      </w:pPr>
      <w:hyperlink w:anchor="_Toc28779203" w:history="1">
        <w:r w:rsidRPr="00A65BFD">
          <w:rPr>
            <w:rStyle w:val="Hyperlink"/>
            <w:rFonts w:ascii="宋体" w:hAnsi="宋体" w:hint="eastAsia"/>
            <w:b/>
            <w:noProof/>
            <w:color w:val="000000"/>
            <w:sz w:val="32"/>
            <w:u w:val="none"/>
          </w:rPr>
          <w:t>预算项目绩效表</w:t>
        </w:r>
        <w:r w:rsidRPr="00A65BFD">
          <w:rPr>
            <w:rFonts w:ascii="宋体"/>
            <w:b/>
            <w:noProof/>
            <w:color w:val="000000"/>
            <w:sz w:val="32"/>
          </w:rPr>
          <w:tab/>
        </w:r>
        <w:r w:rsidRPr="00A65BFD">
          <w:rPr>
            <w:rFonts w:ascii="宋体" w:hAnsi="宋体"/>
            <w:b/>
            <w:noProof/>
            <w:color w:val="000000"/>
            <w:sz w:val="32"/>
          </w:rPr>
          <w:fldChar w:fldCharType="begin"/>
        </w:r>
        <w:r w:rsidRPr="00A65BFD">
          <w:rPr>
            <w:rFonts w:ascii="宋体" w:hAnsi="宋体"/>
            <w:b/>
            <w:noProof/>
            <w:color w:val="000000"/>
            <w:sz w:val="32"/>
          </w:rPr>
          <w:instrText xml:space="preserve"> PAGEREF _Toc28779203 \h </w:instrText>
        </w:r>
        <w:r w:rsidRPr="00A65BFD">
          <w:rPr>
            <w:rFonts w:ascii="宋体" w:hint="eastAsia"/>
            <w:b/>
            <w:noProof/>
            <w:color w:val="000000"/>
            <w:sz w:val="32"/>
          </w:rPr>
        </w:r>
        <w:r w:rsidRPr="00A65BFD">
          <w:rPr>
            <w:rFonts w:ascii="宋体" w:hAnsi="宋体"/>
            <w:b/>
            <w:noProof/>
            <w:color w:val="000000"/>
            <w:sz w:val="32"/>
          </w:rPr>
          <w:fldChar w:fldCharType="separate"/>
        </w:r>
        <w:r w:rsidRPr="00A65BFD">
          <w:rPr>
            <w:rFonts w:ascii="宋体" w:hAnsi="宋体"/>
            <w:b/>
            <w:noProof/>
            <w:color w:val="000000"/>
            <w:sz w:val="32"/>
          </w:rPr>
          <w:t>2</w:t>
        </w:r>
        <w:r w:rsidRPr="00A65BFD">
          <w:rPr>
            <w:rFonts w:ascii="宋体" w:hAnsi="宋体"/>
            <w:b/>
            <w:noProof/>
            <w:color w:val="000000"/>
            <w:sz w:val="32"/>
          </w:rPr>
          <w:fldChar w:fldCharType="end"/>
        </w:r>
      </w:hyperlink>
    </w:p>
    <w:p w:rsidR="00B06E69" w:rsidRDefault="00B06E69" w:rsidP="00A65BFD">
      <w:pPr>
        <w:jc w:val="center"/>
        <w:rPr>
          <w:rFonts w:ascii="楷体" w:eastAsia="楷体" w:hAnsi="宋体"/>
          <w:b/>
          <w:color w:val="000000"/>
          <w:sz w:val="52"/>
        </w:rPr>
        <w:sectPr w:rsidR="00B06E69" w:rsidSect="00A65B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65BFD">
        <w:rPr>
          <w:rFonts w:ascii="宋体" w:hAnsi="宋体"/>
          <w:b/>
          <w:color w:val="000000"/>
          <w:sz w:val="32"/>
        </w:rPr>
        <w:fldChar w:fldCharType="end"/>
      </w:r>
    </w:p>
    <w:p w:rsidR="00B06E69" w:rsidRDefault="00B06E69" w:rsidP="00A65BFD">
      <w:pPr>
        <w:pStyle w:val="Heading1"/>
        <w:jc w:val="center"/>
      </w:pPr>
      <w:bookmarkStart w:id="0" w:name="_Toc28779202"/>
      <w:r>
        <w:rPr>
          <w:rFonts w:hint="eastAsia"/>
        </w:rPr>
        <w:t>部门总体绩效目标及保障措施</w:t>
      </w:r>
      <w:bookmarkEnd w:id="0"/>
    </w:p>
    <w:p w:rsidR="00B06E69" w:rsidRDefault="00B06E69" w:rsidP="00A65BFD">
      <w:pPr>
        <w:jc w:val="left"/>
        <w:rPr>
          <w:rFonts w:asci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一、部门总体绩效目标</w:t>
      </w:r>
    </w:p>
    <w:p w:rsidR="00B06E69" w:rsidRPr="00820DEA" w:rsidRDefault="00B06E69" w:rsidP="00820DEA">
      <w:pPr>
        <w:widowControl/>
      </w:pPr>
      <w:r w:rsidRPr="00CC0813">
        <w:rPr>
          <w:rFonts w:ascii="宋体" w:hAnsi="宋体" w:cs="宋体" w:hint="eastAsia"/>
          <w:color w:val="000000"/>
          <w:kern w:val="0"/>
          <w:sz w:val="18"/>
          <w:szCs w:val="18"/>
        </w:rPr>
        <w:t>把握京津冀协同发展新机遇，搭建科技信息推送、产学研协作发展、大众创业万众创新、京津冀协同发展、科学决策咨询五大平台，深入推进《全民科学素质行动计划纲要》，科普经费主要面向农民、社区居民、青少年、领导干部和公务员等重点人群，开展科普惠农、科普益民等重点科普活动，开展科普日、科技周、减灾日、三下乡等系列科普活动。搭建为科技工作者服务、为企业服务、为提高全民科学素质服务三大平台；深入实施创新驱动、科学普及、广泛协作、青少年科技教育四大系统工程；建设科技智囊、科技人才、科技信息、科技企业、青少年科技后备人才五个“库”。</w:t>
      </w:r>
    </w:p>
    <w:p w:rsidR="00B06E69" w:rsidRDefault="00B06E69" w:rsidP="00A65BFD">
      <w:pPr>
        <w:jc w:val="left"/>
        <w:rPr>
          <w:rFonts w:asci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二、目标规划及保障措施</w:t>
      </w:r>
    </w:p>
    <w:p w:rsidR="00B06E69" w:rsidRPr="00751AF5" w:rsidRDefault="00B06E69" w:rsidP="00751AF5">
      <w:pPr>
        <w:spacing w:line="360" w:lineRule="auto"/>
        <w:ind w:firstLineChars="200" w:firstLine="420"/>
        <w:rPr>
          <w:szCs w:val="21"/>
        </w:rPr>
      </w:pPr>
      <w:r w:rsidRPr="00751AF5">
        <w:rPr>
          <w:rFonts w:hint="eastAsia"/>
          <w:szCs w:val="21"/>
        </w:rPr>
        <w:t>加强科协资产管理，推动科学技术普及工作，开展市科协信息化建设，科协干部培训与能力提升和财务管理与内部控制体系等方面的研究。</w:t>
      </w:r>
    </w:p>
    <w:p w:rsidR="00B06E69" w:rsidRDefault="00B06E69">
      <w:pPr>
        <w:widowControl/>
        <w:jc w:val="left"/>
        <w:rPr>
          <w:rFonts w:ascii="宋体"/>
          <w:b/>
          <w:color w:val="000000"/>
          <w:sz w:val="32"/>
        </w:rPr>
      </w:pPr>
      <w:r>
        <w:rPr>
          <w:rFonts w:ascii="宋体"/>
          <w:b/>
          <w:color w:val="000000"/>
          <w:sz w:val="32"/>
        </w:rPr>
        <w:br w:type="page"/>
      </w:r>
    </w:p>
    <w:p w:rsidR="00B06E69" w:rsidRDefault="00B06E69" w:rsidP="00A65BFD">
      <w:pPr>
        <w:pStyle w:val="Heading1"/>
        <w:jc w:val="center"/>
      </w:pPr>
      <w:bookmarkStart w:id="1" w:name="_Toc28779203"/>
      <w:r>
        <w:rPr>
          <w:rFonts w:hint="eastAsia"/>
        </w:rPr>
        <w:t>预算项目绩效表</w:t>
      </w:r>
      <w:bookmarkEnd w:id="1"/>
    </w:p>
    <w:p w:rsidR="00B06E69" w:rsidRDefault="00B06E69" w:rsidP="00A65BFD">
      <w:pPr>
        <w:spacing w:line="480" w:lineRule="auto"/>
        <w:jc w:val="left"/>
        <w:rPr>
          <w:rFonts w:asci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 xml:space="preserve">405002 </w:t>
      </w:r>
      <w:r>
        <w:rPr>
          <w:rFonts w:ascii="宋体" w:hAnsi="宋体" w:hint="eastAsia"/>
          <w:b/>
          <w:color w:val="000000"/>
          <w:sz w:val="28"/>
        </w:rPr>
        <w:t>唐山市科学技术协会</w:t>
      </w:r>
    </w:p>
    <w:p w:rsidR="00B06E69" w:rsidRDefault="00B06E69" w:rsidP="004B0E7E"/>
    <w:tbl>
      <w:tblPr>
        <w:tblW w:w="8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276"/>
        <w:gridCol w:w="1417"/>
        <w:gridCol w:w="1560"/>
        <w:gridCol w:w="1559"/>
        <w:gridCol w:w="1417"/>
      </w:tblGrid>
      <w:tr w:rsidR="00B06E69" w:rsidRPr="00967A84" w:rsidTr="0013528B">
        <w:trPr>
          <w:trHeight w:val="7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405002B15DX0001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科普专项经费</w:t>
            </w:r>
          </w:p>
        </w:tc>
      </w:tr>
      <w:tr w:rsidR="00B06E69" w:rsidRPr="00967A84" w:rsidTr="0013528B">
        <w:trPr>
          <w:trHeight w:val="90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预算数</w:t>
            </w: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</w:rPr>
              <w:t>万。其中：财政资金</w:t>
            </w: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</w:rPr>
              <w:t>万元，其他资金</w:t>
            </w:r>
            <w:r>
              <w:rPr>
                <w:rFonts w:asci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万元。根据河北省人民政府办公厅《关于印发河北省全民科学素质行动计划实施方案（</w:t>
            </w:r>
            <w:r>
              <w:rPr>
                <w:rFonts w:ascii="宋体" w:hAnsi="宋体" w:cs="宋体"/>
                <w:sz w:val="24"/>
              </w:rPr>
              <w:t>2016-2020</w:t>
            </w:r>
            <w:r>
              <w:rPr>
                <w:rFonts w:ascii="宋体" w:hAnsi="宋体" w:cs="宋体" w:hint="eastAsia"/>
                <w:sz w:val="24"/>
              </w:rPr>
              <w:t>年）的通知》（冀政办发</w:t>
            </w:r>
            <w:r>
              <w:rPr>
                <w:rFonts w:ascii="宋体" w:hAnsi="宋体" w:cs="宋体"/>
                <w:sz w:val="24"/>
              </w:rPr>
              <w:t>[2016]14</w:t>
            </w:r>
            <w:r>
              <w:rPr>
                <w:rFonts w:ascii="宋体" w:hAnsi="宋体" w:cs="宋体" w:hint="eastAsia"/>
                <w:sz w:val="24"/>
              </w:rPr>
              <w:t>号），建议</w:t>
            </w:r>
            <w:r>
              <w:rPr>
                <w:rFonts w:ascii="宋体" w:hAnsi="宋体" w:cs="宋体"/>
                <w:sz w:val="24"/>
              </w:rPr>
              <w:t>2020</w:t>
            </w:r>
            <w:r>
              <w:rPr>
                <w:rFonts w:ascii="宋体" w:hAnsi="宋体" w:cs="宋体" w:hint="eastAsia"/>
                <w:sz w:val="24"/>
              </w:rPr>
              <w:t>年市本级安排科普专项资金</w:t>
            </w: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ascii="宋体" w:hAnsi="宋体" w:cs="宋体" w:hint="eastAsia"/>
                <w:sz w:val="24"/>
              </w:rPr>
              <w:t>万元，用于科普宣传、科普惠农、科普益民和科普进学校等项目。</w:t>
            </w:r>
          </w:p>
        </w:tc>
      </w:tr>
      <w:tr w:rsidR="00B06E69" w:rsidRPr="00967A84" w:rsidTr="0013528B">
        <w:trPr>
          <w:trHeight w:val="401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资金支出计划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累计进度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第四季度</w:t>
            </w:r>
          </w:p>
        </w:tc>
      </w:tr>
      <w:tr w:rsidR="00B06E69" w:rsidRPr="00967A84" w:rsidTr="0013528B">
        <w:trPr>
          <w:trHeight w:val="376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100.00</w:t>
            </w:r>
          </w:p>
        </w:tc>
      </w:tr>
      <w:tr w:rsidR="00B06E69" w:rsidRPr="00967A84" w:rsidTr="0013528B">
        <w:trPr>
          <w:trHeight w:val="8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习近平新时代中国特色社会主义思想为指导，紧紧围绕唐山“高质量发展”，加强科技工作者思想政治引领，全面提升科协系统的凝聚力，全力推进科技馆高质量运营，高水平服务科技创新，助力乡村振兴战略和扶贫攻坚，广泛深入进行科普宣传，拓宽为科技工作者服务渠道，全方位创新科普方式，打造青少年科技教育创新品牌，加强科普阵地建设，建设“科技工作者之家”。</w:t>
            </w:r>
          </w:p>
        </w:tc>
      </w:tr>
      <w:tr w:rsidR="00B06E69" w:rsidRPr="00967A84" w:rsidTr="0013528B">
        <w:trPr>
          <w:trHeight w:val="6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指标值确定依据</w:t>
            </w:r>
          </w:p>
        </w:tc>
      </w:tr>
      <w:tr w:rsidR="00B06E69" w:rsidRPr="00967A84" w:rsidTr="0013528B">
        <w:trPr>
          <w:trHeight w:val="70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发展科协个人会员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加强与科技工作者的联系和沟通，发展科技工作者进入科协成为个人会员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市级科协个人会员</w:t>
            </w:r>
            <w:r>
              <w:rPr>
                <w:rFonts w:ascii="宋体" w:hAnsi="宋体" w:cs="宋体"/>
                <w:kern w:val="0"/>
                <w:sz w:val="24"/>
              </w:rPr>
              <w:t>=700</w:t>
            </w:r>
            <w:r>
              <w:rPr>
                <w:rFonts w:ascii="宋体" w:hAnsi="宋体" w:cs="宋体" w:hint="eastAsia"/>
                <w:kern w:val="0"/>
                <w:sz w:val="24"/>
              </w:rPr>
              <w:t>名，县级会员</w:t>
            </w:r>
            <w:r>
              <w:rPr>
                <w:rFonts w:ascii="宋体" w:hAnsi="宋体" w:cs="宋体"/>
                <w:kern w:val="0"/>
                <w:sz w:val="24"/>
              </w:rPr>
              <w:t>=1400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《唐山市科协系统深化改革实施方案》</w:t>
            </w:r>
          </w:p>
        </w:tc>
      </w:tr>
      <w:tr w:rsidR="00B06E69" w:rsidRPr="00967A84" w:rsidTr="0013528B">
        <w:trPr>
          <w:trHeight w:val="69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开展科技下乡、科普惠农等科普宣传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</w:t>
            </w:r>
            <w:r>
              <w:rPr>
                <w:rFonts w:ascii="宋体" w:hAnsi="宋体" w:cs="宋体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kern w:val="0"/>
                <w:sz w:val="24"/>
              </w:rPr>
              <w:t>“全国科技工作者日</w:t>
            </w:r>
            <w:r>
              <w:rPr>
                <w:rFonts w:ascii="宋体" w:cs="宋体" w:hint="eastAsia"/>
                <w:kern w:val="0"/>
                <w:sz w:val="24"/>
              </w:rPr>
              <w:t>”“</w:t>
            </w:r>
            <w:r>
              <w:rPr>
                <w:rFonts w:ascii="宋体" w:hAnsi="宋体" w:cs="宋体" w:hint="eastAsia"/>
                <w:kern w:val="0"/>
                <w:sz w:val="24"/>
              </w:rPr>
              <w:t>全国科普日</w:t>
            </w:r>
            <w:r>
              <w:rPr>
                <w:rFonts w:ascii="宋体" w:cs="宋体" w:hint="eastAsia"/>
                <w:kern w:val="0"/>
                <w:sz w:val="24"/>
              </w:rPr>
              <w:t>”“</w:t>
            </w:r>
            <w:r>
              <w:rPr>
                <w:rFonts w:ascii="宋体" w:hAnsi="宋体" w:cs="宋体" w:hint="eastAsia"/>
                <w:kern w:val="0"/>
                <w:sz w:val="24"/>
              </w:rPr>
              <w:t>双创活动周</w:t>
            </w:r>
            <w:r>
              <w:rPr>
                <w:rFonts w:ascii="宋体" w:cs="宋体" w:hint="eastAsia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</w:rPr>
              <w:t>为主要节点，组织开展系列科普宣传活动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大型科普宣传次数</w:t>
            </w:r>
            <w:r>
              <w:rPr>
                <w:rFonts w:ascii="宋体" w:hAnsi="宋体" w:cs="宋体"/>
                <w:kern w:val="0"/>
                <w:sz w:val="24"/>
              </w:rPr>
              <w:t>=5</w:t>
            </w:r>
            <w:r>
              <w:rPr>
                <w:rFonts w:ascii="宋体" w:hAnsi="宋体" w:cs="宋体" w:hint="eastAsia"/>
                <w:kern w:val="0"/>
                <w:sz w:val="24"/>
              </w:rPr>
              <w:t>次，宣传群众＝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万人次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《唐山市科协系统深化改革实施方案》</w:t>
            </w:r>
          </w:p>
        </w:tc>
      </w:tr>
      <w:tr w:rsidR="00B06E69" w:rsidRPr="00967A84" w:rsidTr="0013528B">
        <w:trPr>
          <w:trHeight w:val="69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年全年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科普经费</w:t>
            </w:r>
            <w:r>
              <w:rPr>
                <w:rFonts w:ascii="宋体" w:hAnsi="宋体" w:cs="宋体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万用于科普宣传、惠农益民和科普进校园等项目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月底前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《唐山市科协系统深化改革实施方案》</w:t>
            </w:r>
          </w:p>
        </w:tc>
      </w:tr>
      <w:tr w:rsidR="00B06E69" w:rsidRPr="00967A84" w:rsidTr="0013528B">
        <w:trPr>
          <w:trHeight w:val="67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科普经费</w:t>
            </w:r>
            <w:r>
              <w:rPr>
                <w:rFonts w:ascii="宋体" w:hAnsi="宋体" w:cs="宋体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《唐山市科协系统深化改革实施方案》</w:t>
            </w:r>
          </w:p>
        </w:tc>
      </w:tr>
      <w:tr w:rsidR="00B06E69" w:rsidRPr="00967A84" w:rsidTr="0013528B">
        <w:trPr>
          <w:trHeight w:val="65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6E69" w:rsidRPr="00967A84" w:rsidTr="0013528B">
        <w:trPr>
          <w:trHeight w:val="67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6E69" w:rsidRPr="00967A84" w:rsidTr="0013528B">
        <w:trPr>
          <w:trHeight w:val="72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6E69" w:rsidRPr="00967A84" w:rsidTr="0013528B">
        <w:trPr>
          <w:trHeight w:val="6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6E69" w:rsidRPr="00967A84" w:rsidTr="0013528B">
        <w:trPr>
          <w:trHeight w:val="7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推进承接政府转移职能工作，鼓励学会承办政府委托的工作和购买服务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常态化推进承接政府转移职能工作，鼓励学会承办政府委托的工作和购买服务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学会承办政府委托的工作和购买服务满意率</w:t>
            </w:r>
            <w:r>
              <w:rPr>
                <w:rFonts w:ascii="宋体" w:hAnsi="宋体" w:cs="宋体"/>
                <w:kern w:val="0"/>
                <w:sz w:val="24"/>
              </w:rPr>
              <w:t>=90%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《唐山市科协系统深化改革实施方案》</w:t>
            </w:r>
          </w:p>
        </w:tc>
      </w:tr>
    </w:tbl>
    <w:p w:rsidR="00B06E69" w:rsidRDefault="00B06E69" w:rsidP="004B0E7E">
      <w:pPr>
        <w:sectPr w:rsidR="00B06E69" w:rsidSect="00A65BFD"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06E69" w:rsidRDefault="00B06E69" w:rsidP="004B0E7E"/>
    <w:tbl>
      <w:tblPr>
        <w:tblW w:w="8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276"/>
        <w:gridCol w:w="1417"/>
        <w:gridCol w:w="1560"/>
        <w:gridCol w:w="1559"/>
        <w:gridCol w:w="1417"/>
      </w:tblGrid>
      <w:tr w:rsidR="00B06E69" w:rsidRPr="00967A84" w:rsidTr="0013528B">
        <w:trPr>
          <w:trHeight w:val="7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405002B19DX0002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唐山科技馆运营服务管理和房租租赁</w:t>
            </w:r>
          </w:p>
        </w:tc>
      </w:tr>
      <w:tr w:rsidR="00B06E69" w:rsidRPr="00967A84" w:rsidTr="0013528B">
        <w:trPr>
          <w:trHeight w:val="90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预算数</w:t>
            </w:r>
            <w:r>
              <w:rPr>
                <w:rFonts w:ascii="宋体" w:hAnsi="宋体" w:cs="宋体"/>
                <w:sz w:val="24"/>
              </w:rPr>
              <w:t>1813.88</w:t>
            </w:r>
            <w:r>
              <w:rPr>
                <w:rFonts w:ascii="宋体" w:hAnsi="宋体" w:cs="宋体" w:hint="eastAsia"/>
                <w:sz w:val="24"/>
              </w:rPr>
              <w:t>万元。其中：财政资金</w:t>
            </w:r>
            <w:r>
              <w:rPr>
                <w:rFonts w:ascii="宋体" w:hAnsi="宋体" w:cs="宋体"/>
                <w:sz w:val="24"/>
              </w:rPr>
              <w:t>1813.88</w:t>
            </w:r>
            <w:r>
              <w:rPr>
                <w:rFonts w:ascii="宋体" w:hAnsi="宋体" w:cs="宋体" w:hint="eastAsia"/>
                <w:sz w:val="24"/>
              </w:rPr>
              <w:t>万元，其他资金</w:t>
            </w:r>
            <w:r>
              <w:rPr>
                <w:rFonts w:asci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万元，主要用于唐山科技馆社会化运营服务和科技馆场馆的房租租赁费</w:t>
            </w:r>
          </w:p>
        </w:tc>
      </w:tr>
      <w:tr w:rsidR="00B06E69" w:rsidRPr="00967A84" w:rsidTr="0013528B">
        <w:trPr>
          <w:trHeight w:val="401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资金支出计划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累计进度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第四季度</w:t>
            </w:r>
          </w:p>
        </w:tc>
      </w:tr>
      <w:tr w:rsidR="00B06E69" w:rsidRPr="00967A84" w:rsidTr="0013528B">
        <w:trPr>
          <w:trHeight w:val="376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100.00</w:t>
            </w:r>
          </w:p>
        </w:tc>
      </w:tr>
      <w:tr w:rsidR="00B06E69" w:rsidRPr="00967A84" w:rsidTr="0013528B">
        <w:trPr>
          <w:trHeight w:val="8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科技馆社会化运营，由社会第三方组织运营能更好的发挥科技馆的科普宣传作用，提高全民科学素养，节省财政开支。</w:t>
            </w:r>
          </w:p>
        </w:tc>
      </w:tr>
      <w:tr w:rsidR="00B06E69" w:rsidRPr="00967A84" w:rsidTr="0013528B">
        <w:trPr>
          <w:trHeight w:val="6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指标值确定依据</w:t>
            </w:r>
          </w:p>
        </w:tc>
      </w:tr>
      <w:tr w:rsidR="00B06E69" w:rsidRPr="00967A84" w:rsidTr="0013528B">
        <w:trPr>
          <w:trHeight w:val="70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年参观人数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万人次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科技馆全年运营，保证参观人数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参观人数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根据其他省市同体量科技馆参观人数</w:t>
            </w:r>
          </w:p>
        </w:tc>
      </w:tr>
      <w:tr w:rsidR="00B06E69" w:rsidRPr="00967A84" w:rsidTr="0013528B">
        <w:trPr>
          <w:trHeight w:val="69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科技馆两年安全运营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在保证参观人数的同时，保证参观质量及安全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根据其他省市同体量科技馆运营标准</w:t>
            </w:r>
          </w:p>
        </w:tc>
      </w:tr>
      <w:tr w:rsidR="00B06E69" w:rsidRPr="00967A84" w:rsidTr="0013528B">
        <w:trPr>
          <w:trHeight w:val="69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年全年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年提高科技馆整体运营能力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年底完成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根据其他省市同体量科技馆运营标准</w:t>
            </w:r>
          </w:p>
        </w:tc>
      </w:tr>
      <w:tr w:rsidR="00B06E69" w:rsidRPr="00967A84" w:rsidTr="0013528B">
        <w:trPr>
          <w:trHeight w:val="67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1813.88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唐山市科技馆运营服务费</w:t>
            </w:r>
            <w:r>
              <w:rPr>
                <w:rFonts w:ascii="宋体" w:hAnsi="宋体" w:cs="宋体"/>
                <w:kern w:val="0"/>
                <w:sz w:val="24"/>
              </w:rPr>
              <w:t>625.88</w:t>
            </w:r>
            <w:r>
              <w:rPr>
                <w:rFonts w:ascii="宋体" w:hAnsi="宋体" w:cs="宋体" w:hint="eastAsia"/>
                <w:kern w:val="0"/>
                <w:sz w:val="24"/>
              </w:rPr>
              <w:t>万元，房租租赁费</w:t>
            </w:r>
            <w:r>
              <w:rPr>
                <w:rFonts w:ascii="宋体" w:hAnsi="宋体" w:cs="宋体"/>
                <w:kern w:val="0"/>
                <w:sz w:val="24"/>
              </w:rPr>
              <w:t>1188</w:t>
            </w:r>
            <w:r>
              <w:rPr>
                <w:rFonts w:ascii="宋体" w:hAnsi="宋体" w:cs="宋体" w:hint="eastAsia"/>
                <w:kern w:val="0"/>
                <w:sz w:val="24"/>
              </w:rPr>
              <w:t>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1813.88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社会化运营投标文件</w:t>
            </w:r>
          </w:p>
        </w:tc>
      </w:tr>
      <w:tr w:rsidR="00B06E69" w:rsidRPr="00967A84" w:rsidTr="0013528B">
        <w:trPr>
          <w:trHeight w:val="654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6E69" w:rsidRPr="00967A84" w:rsidTr="0013528B">
        <w:trPr>
          <w:trHeight w:val="67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6E69" w:rsidRPr="00967A84" w:rsidTr="0013528B">
        <w:trPr>
          <w:trHeight w:val="72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6E69" w:rsidRPr="00967A84" w:rsidTr="0013528B">
        <w:trPr>
          <w:trHeight w:val="6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6E69" w:rsidRPr="00967A84" w:rsidTr="0013528B">
        <w:trPr>
          <w:trHeight w:val="7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E69" w:rsidRDefault="00B06E69" w:rsidP="0013528B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调查问卷</w:t>
            </w:r>
          </w:p>
        </w:tc>
      </w:tr>
    </w:tbl>
    <w:p w:rsidR="00B06E69" w:rsidRPr="00915955" w:rsidRDefault="00B06E69" w:rsidP="004B0E7E"/>
    <w:p w:rsidR="00B06E69" w:rsidRPr="004B0E7E" w:rsidRDefault="00B06E69" w:rsidP="004B0E7E"/>
    <w:p w:rsidR="00B06E69" w:rsidRPr="00A65BFD" w:rsidRDefault="00B06E69" w:rsidP="00A65BFD">
      <w:pPr>
        <w:spacing w:line="360" w:lineRule="auto"/>
        <w:jc w:val="left"/>
        <w:rPr>
          <w:rFonts w:ascii="宋体"/>
          <w:b/>
          <w:color w:val="000000"/>
          <w:sz w:val="28"/>
        </w:rPr>
      </w:pPr>
    </w:p>
    <w:sectPr w:rsidR="00B06E69" w:rsidRPr="00A65BFD" w:rsidSect="00A65BFD">
      <w:pgSz w:w="11906" w:h="16838"/>
      <w:pgMar w:top="1340" w:right="1800" w:bottom="13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69" w:rsidRDefault="00B06E69" w:rsidP="00A65BFD">
      <w:r>
        <w:separator/>
      </w:r>
    </w:p>
  </w:endnote>
  <w:endnote w:type="continuationSeparator" w:id="0">
    <w:p w:rsidR="00B06E69" w:rsidRDefault="00B06E69" w:rsidP="00A6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69" w:rsidRDefault="00B06E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69" w:rsidRDefault="00B06E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69" w:rsidRDefault="00B06E6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69" w:rsidRDefault="00B06E69" w:rsidP="00A65BFD">
    <w:pPr>
      <w:pStyle w:val="Footer"/>
      <w:jc w:val="center"/>
    </w:pPr>
    <w:r>
      <w:rPr>
        <w:rFonts w:hint="eastAsia"/>
      </w:rPr>
      <w:t>第</w:t>
    </w:r>
    <w:r>
      <w:t xml:space="preserve"> </w:t>
    </w:r>
    <w:fldSimple w:instr=" Page \* MERGEFORMAT ">
      <w:r>
        <w:rPr>
          <w:noProof/>
        </w:rPr>
        <w:t>5</w:t>
      </w:r>
    </w:fldSimple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69" w:rsidRDefault="00B06E69" w:rsidP="00A65BFD">
      <w:r>
        <w:separator/>
      </w:r>
    </w:p>
  </w:footnote>
  <w:footnote w:type="continuationSeparator" w:id="0">
    <w:p w:rsidR="00B06E69" w:rsidRDefault="00B06E69" w:rsidP="00A65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69" w:rsidRDefault="00B06E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69" w:rsidRDefault="00B06E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E69" w:rsidRDefault="00B06E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BFD"/>
    <w:rsid w:val="0013528B"/>
    <w:rsid w:val="004B0ABC"/>
    <w:rsid w:val="004B0E7E"/>
    <w:rsid w:val="00751AF5"/>
    <w:rsid w:val="00820DEA"/>
    <w:rsid w:val="00915955"/>
    <w:rsid w:val="00967A84"/>
    <w:rsid w:val="00A65BFD"/>
    <w:rsid w:val="00B06E69"/>
    <w:rsid w:val="00CC0813"/>
    <w:rsid w:val="00DC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EA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B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5BFD"/>
    <w:rPr>
      <w:rFonts w:cs="Times New Roman"/>
      <w:b/>
      <w:bCs/>
      <w:kern w:val="44"/>
      <w:sz w:val="44"/>
      <w:szCs w:val="44"/>
    </w:rPr>
  </w:style>
  <w:style w:type="paragraph" w:styleId="TOC1">
    <w:name w:val="toc 1"/>
    <w:basedOn w:val="Normal"/>
    <w:next w:val="Normal"/>
    <w:autoRedefine/>
    <w:uiPriority w:val="39"/>
    <w:unhideWhenUsed/>
    <w:rsid w:val="00A65BFD"/>
  </w:style>
  <w:style w:type="character" w:styleId="Hyperlink">
    <w:name w:val="Hyperlink"/>
    <w:basedOn w:val="DefaultParagraphFont"/>
    <w:uiPriority w:val="99"/>
    <w:unhideWhenUsed/>
    <w:rsid w:val="00A65B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5BF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6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5BF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2020-01-01T05:53:00Z</dcterms:created>
  <dcterms:modified xsi:type="dcterms:W3CDTF">2020-01-01T05:53:00Z</dcterms:modified>
</cp:coreProperties>
</file>